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06141">
        <w:rPr>
          <w:b/>
          <w:sz w:val="26"/>
          <w:szCs w:val="26"/>
        </w:rPr>
        <w:t>202</w:t>
      </w:r>
      <w:r w:rsidR="005F470B">
        <w:rPr>
          <w:b/>
          <w:sz w:val="26"/>
          <w:szCs w:val="26"/>
        </w:rPr>
        <w:t>4</w:t>
      </w:r>
      <w:r w:rsidR="005106AF">
        <w:rPr>
          <w:b/>
          <w:sz w:val="26"/>
          <w:szCs w:val="26"/>
        </w:rPr>
        <w:t xml:space="preserve"> год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06141">
        <w:rPr>
          <w:sz w:val="26"/>
          <w:szCs w:val="26"/>
        </w:rPr>
        <w:t>202</w:t>
      </w:r>
      <w:r w:rsidR="005F470B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</w:t>
      </w:r>
      <w:r w:rsidR="005106AF">
        <w:rPr>
          <w:sz w:val="26"/>
          <w:szCs w:val="26"/>
        </w:rPr>
        <w:t>у</w:t>
      </w:r>
      <w:r w:rsidRPr="00EA11DE">
        <w:rPr>
          <w:sz w:val="26"/>
          <w:szCs w:val="26"/>
        </w:rPr>
        <w:t xml:space="preserve">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5F470B">
        <w:rPr>
          <w:sz w:val="26"/>
          <w:szCs w:val="26"/>
        </w:rPr>
        <w:t>425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5106AF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5F470B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EE7F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EE7F0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ст10 - </w:t>
            </w:r>
            <w:r w:rsidR="00EE7F00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EE7F00">
              <w:t>500 до 2000</w:t>
            </w:r>
            <w:r w:rsidR="00EE7F00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Default="00CA3AAA" w:rsidP="00EA11DE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A11DE">
            <w:pPr>
              <w:jc w:val="center"/>
              <w:rPr>
                <w:sz w:val="26"/>
                <w:szCs w:val="26"/>
              </w:rPr>
            </w:pPr>
          </w:p>
          <w:p w:rsidR="005F470B" w:rsidRPr="00CA3AAA" w:rsidRDefault="005F470B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106AF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1" w:rsidRPr="00270D31" w:rsidRDefault="005106AF" w:rsidP="00270D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п.3.1 ст.10 -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 w:rsidR="00270D31" w:rsidRPr="00270D31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настоящей статьи, -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5106AF" w:rsidRDefault="005106AF" w:rsidP="00EE7F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F470B">
              <w:rPr>
                <w:sz w:val="26"/>
                <w:szCs w:val="26"/>
              </w:rPr>
              <w:t>0</w:t>
            </w:r>
          </w:p>
        </w:tc>
      </w:tr>
      <w:tr w:rsidR="00F33E7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4</w:t>
            </w:r>
            <w:r w:rsidRPr="00C73A6A">
              <w:rPr>
                <w:b/>
                <w:sz w:val="26"/>
                <w:szCs w:val="26"/>
              </w:rPr>
              <w:t xml:space="preserve"> ст.10 </w:t>
            </w:r>
            <w:r w:rsidR="00C06141">
              <w:rPr>
                <w:b/>
                <w:sz w:val="26"/>
                <w:szCs w:val="26"/>
              </w:rPr>
              <w:t>–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="00C06141">
              <w:t xml:space="preserve">повторное нарушение тишины и покоя граждан - </w:t>
            </w:r>
            <w:r w:rsidR="00AA4BC7">
              <w:t xml:space="preserve"> </w:t>
            </w:r>
            <w:r w:rsidR="00AA4BC7" w:rsidRPr="00EE7F00">
              <w:t xml:space="preserve">влечет  наложение штрафа в размере от </w:t>
            </w:r>
            <w:r w:rsidR="00C06141">
              <w:t>30</w:t>
            </w:r>
            <w:r w:rsidR="00AA4BC7">
              <w:t xml:space="preserve">00 до </w:t>
            </w:r>
            <w:r w:rsidR="00C06141">
              <w:t>5</w:t>
            </w:r>
            <w:r w:rsidR="00AA4BC7">
              <w:t>000</w:t>
            </w:r>
            <w:r w:rsidR="00AA4BC7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244847" w:rsidRDefault="005F470B" w:rsidP="005F4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106AF">
              <w:rPr>
                <w:sz w:val="26"/>
                <w:szCs w:val="26"/>
              </w:rPr>
              <w:t>4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31" w:rsidRPr="00270D31" w:rsidRDefault="005106AF" w:rsidP="00270D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п.2 ст.15</w:t>
            </w:r>
            <w:r w:rsidR="00270D31">
              <w:rPr>
                <w:b/>
                <w:sz w:val="26"/>
                <w:szCs w:val="26"/>
              </w:rPr>
              <w:t xml:space="preserve"> - п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овторное совершение административного правонарушения, предусмотренного </w:t>
            </w:r>
            <w:hyperlink r:id="rId5" w:history="1">
              <w:r w:rsidR="00270D31" w:rsidRPr="00270D31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настоящей статьи, -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наложение административного штрафа на граждан в размере от 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>2000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рублей.</w:t>
            </w:r>
          </w:p>
          <w:p w:rsidR="005106AF" w:rsidRDefault="005106AF" w:rsidP="00C061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Pr="00AD048C" w:rsidRDefault="005106AF" w:rsidP="00AD0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п.3 ст.20.4</w:t>
            </w:r>
            <w:r w:rsidR="00AD048C">
              <w:rPr>
                <w:b/>
                <w:sz w:val="26"/>
                <w:szCs w:val="26"/>
              </w:rPr>
              <w:t xml:space="preserve"> - 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>в</w:t>
            </w:r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ыгул собак в отсутствие контроля со стороны их владельцев (</w:t>
            </w:r>
            <w:proofErr w:type="spellStart"/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самовыгул</w:t>
            </w:r>
            <w:proofErr w:type="spellEnd"/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) -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наложение административного 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>штрафа на граждан в размере от 1000</w:t>
            </w:r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AD048C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AD048C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рублей.</w:t>
            </w:r>
          </w:p>
          <w:p w:rsidR="005106AF" w:rsidRDefault="005106AF" w:rsidP="00C061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5F470B" w:rsidP="005F4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Pr="00AD048C" w:rsidRDefault="00AD048C" w:rsidP="00AD0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.1 ст27</w:t>
            </w:r>
            <w:r>
              <w:rPr>
                <w:b/>
                <w:sz w:val="26"/>
                <w:szCs w:val="26"/>
              </w:rPr>
              <w:t xml:space="preserve"> - 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мусорных контейнеров (урн, корзин) бумаг, окурков, бутылок и иных предметов, за исключением случаев, предусмотренных </w:t>
            </w:r>
            <w:hyperlink r:id="rId6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статьей 29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Закона, </w:t>
            </w:r>
            <w:hyperlink r:id="rId7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статьями 6.35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8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8.12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9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8.42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10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8.45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11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11.21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и </w:t>
            </w:r>
            <w:hyperlink r:id="rId12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11.22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Ко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АП РФ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-влечет предупреждение или наложение административного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штрафа на граждан в размере от 500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рублей.</w:t>
            </w:r>
          </w:p>
          <w:p w:rsidR="005106AF" w:rsidRDefault="005106AF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EE7F00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E7F00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C06141" w:rsidRDefault="00C06141" w:rsidP="00C061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п.2</w:t>
            </w:r>
            <w:r w:rsidR="00F33E7A" w:rsidRPr="00C73A6A">
              <w:rPr>
                <w:b/>
                <w:sz w:val="26"/>
                <w:szCs w:val="26"/>
              </w:rPr>
              <w:t xml:space="preserve"> ст.2</w:t>
            </w:r>
            <w:r>
              <w:rPr>
                <w:b/>
                <w:sz w:val="26"/>
                <w:szCs w:val="26"/>
              </w:rPr>
              <w:t>7</w:t>
            </w:r>
            <w:r w:rsidR="00F33E7A" w:rsidRPr="00C73A6A">
              <w:rPr>
                <w:b/>
                <w:sz w:val="26"/>
                <w:szCs w:val="26"/>
              </w:rPr>
              <w:t xml:space="preserve">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епринятие в случаях и порядке, определенных правилами благоустройства территории муниципального образования автономного округа, собственниками и (или) иными законными владельцами зданий, строений, сооружений, земельных участков либо лицами, ответственными за эксплуатацию зданий, мер по содержанию прилегающих территорий, включая уборку, в том числе в зимний период,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- </w:t>
            </w:r>
            <w:r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на должностных лиц -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5000</w:t>
            </w:r>
            <w:r w:rsidRPr="00C0614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рублей; </w:t>
            </w:r>
          </w:p>
          <w:p w:rsidR="00F33E7A" w:rsidRPr="00C73A6A" w:rsidRDefault="00F33E7A" w:rsidP="00C0614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F33E7A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106AF">
              <w:rPr>
                <w:sz w:val="26"/>
                <w:szCs w:val="26"/>
              </w:rPr>
              <w:t>0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AD048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.1 ст.29 -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 xml:space="preserve">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 </w:t>
            </w:r>
            <w:hyperlink r:id="rId13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14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Закона,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Pr="00AD048C" w:rsidRDefault="00AD048C" w:rsidP="00AD0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.2 ст.30.1</w:t>
            </w: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5106AF" w:rsidRDefault="005106AF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Default="00AD048C" w:rsidP="00F33E7A">
            <w:pPr>
              <w:jc w:val="center"/>
              <w:rPr>
                <w:sz w:val="26"/>
                <w:szCs w:val="26"/>
              </w:rPr>
            </w:pPr>
          </w:p>
          <w:p w:rsidR="00AD048C" w:rsidRDefault="00AD048C" w:rsidP="00F33E7A">
            <w:pPr>
              <w:jc w:val="center"/>
              <w:rPr>
                <w:sz w:val="26"/>
                <w:szCs w:val="26"/>
              </w:rPr>
            </w:pPr>
          </w:p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C0614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ст.30.</w:t>
            </w:r>
            <w:r w:rsidR="00C0614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06141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C06141">
              <w:rPr>
                <w:sz w:val="25"/>
                <w:szCs w:val="25"/>
              </w:rPr>
              <w:t>500</w:t>
            </w:r>
            <w:r w:rsidR="00C06141" w:rsidRPr="00C06141">
              <w:rPr>
                <w:sz w:val="25"/>
                <w:szCs w:val="25"/>
              </w:rPr>
              <w:t xml:space="preserve"> до </w:t>
            </w:r>
            <w:r w:rsidR="00C06141">
              <w:rPr>
                <w:sz w:val="25"/>
                <w:szCs w:val="25"/>
              </w:rPr>
              <w:t>1000</w:t>
            </w:r>
            <w:r w:rsidR="00C06141" w:rsidRPr="00C06141">
              <w:rPr>
                <w:sz w:val="25"/>
                <w:szCs w:val="25"/>
              </w:rPr>
              <w:t xml:space="preserve"> рублей;  </w:t>
            </w:r>
          </w:p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F33E7A" w:rsidRDefault="005F470B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C7" w:rsidRPr="00AA4BC7" w:rsidRDefault="00EE7F00" w:rsidP="00AA4B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т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штрафа на граждан в размере от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AA4BC7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AA4BC7" w:rsidRPr="00AA4BC7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рублей;</w:t>
            </w:r>
          </w:p>
          <w:p w:rsidR="00EE7F00" w:rsidRPr="00C73A6A" w:rsidRDefault="00EE7F00" w:rsidP="00F33E7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5F470B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5F470B">
        <w:rPr>
          <w:sz w:val="26"/>
          <w:szCs w:val="26"/>
        </w:rPr>
        <w:t>486 600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</w:t>
      </w:r>
      <w:r w:rsidRPr="00EA11DE">
        <w:rPr>
          <w:sz w:val="26"/>
          <w:szCs w:val="26"/>
        </w:rPr>
        <w:lastRenderedPageBreak/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</w:t>
      </w:r>
      <w:r w:rsidR="005106AF">
        <w:rPr>
          <w:sz w:val="26"/>
          <w:szCs w:val="26"/>
        </w:rPr>
        <w:t>за</w:t>
      </w:r>
      <w:r w:rsidR="00F33E7A">
        <w:rPr>
          <w:sz w:val="26"/>
          <w:szCs w:val="26"/>
        </w:rPr>
        <w:t xml:space="preserve"> 202</w:t>
      </w:r>
      <w:r w:rsidR="005F470B">
        <w:rPr>
          <w:sz w:val="26"/>
          <w:szCs w:val="26"/>
        </w:rPr>
        <w:t>4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5F470B">
        <w:rPr>
          <w:sz w:val="26"/>
          <w:szCs w:val="26"/>
        </w:rPr>
        <w:t>38</w:t>
      </w:r>
      <w:r w:rsidR="00F33E7A" w:rsidRPr="00BA04E7">
        <w:rPr>
          <w:sz w:val="26"/>
          <w:szCs w:val="26"/>
        </w:rPr>
        <w:t xml:space="preserve"> нарушител</w:t>
      </w:r>
      <w:r w:rsidR="005106AF">
        <w:rPr>
          <w:sz w:val="26"/>
          <w:szCs w:val="26"/>
        </w:rPr>
        <w:t>ей</w:t>
      </w:r>
      <w:r w:rsidR="00242486">
        <w:rPr>
          <w:sz w:val="26"/>
          <w:szCs w:val="26"/>
        </w:rPr>
        <w:t xml:space="preserve"> уже </w:t>
      </w:r>
      <w:r w:rsidR="00F33E7A" w:rsidRPr="00BA04E7">
        <w:rPr>
          <w:sz w:val="26"/>
          <w:szCs w:val="26"/>
        </w:rPr>
        <w:t>понес</w:t>
      </w:r>
      <w:r w:rsidR="005106AF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233E6F">
        <w:rPr>
          <w:sz w:val="26"/>
          <w:szCs w:val="26"/>
        </w:rPr>
        <w:t>: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5106AF">
        <w:rPr>
          <w:sz w:val="26"/>
          <w:szCs w:val="26"/>
        </w:rPr>
        <w:t xml:space="preserve"> и </w:t>
      </w:r>
      <w:bookmarkStart w:id="0" w:name="_GoBack"/>
      <w:bookmarkEnd w:id="0"/>
      <w:r w:rsidR="005106AF">
        <w:rPr>
          <w:sz w:val="26"/>
          <w:szCs w:val="26"/>
        </w:rPr>
        <w:t>в виде ареста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242486" w:rsidRDefault="00242486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70D31"/>
    <w:rsid w:val="002E6FA3"/>
    <w:rsid w:val="003961A8"/>
    <w:rsid w:val="003D3E9E"/>
    <w:rsid w:val="004747FB"/>
    <w:rsid w:val="004860BC"/>
    <w:rsid w:val="004A7FB2"/>
    <w:rsid w:val="004D06A8"/>
    <w:rsid w:val="004F18D9"/>
    <w:rsid w:val="005106AF"/>
    <w:rsid w:val="005F3EF5"/>
    <w:rsid w:val="005F470B"/>
    <w:rsid w:val="0071501A"/>
    <w:rsid w:val="00727CCA"/>
    <w:rsid w:val="007D3A9C"/>
    <w:rsid w:val="00953941"/>
    <w:rsid w:val="00A83EAB"/>
    <w:rsid w:val="00A86162"/>
    <w:rsid w:val="00AA4BC7"/>
    <w:rsid w:val="00AC7293"/>
    <w:rsid w:val="00AD048C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E7F00"/>
    <w:rsid w:val="00F04087"/>
    <w:rsid w:val="00F21A7D"/>
    <w:rsid w:val="00F33E7A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4757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4760" TargetMode="External"/><Relationship Id="rId13" Type="http://schemas.openxmlformats.org/officeDocument/2006/relationships/hyperlink" Target="https://login.consultant.ru/link/?req=doc&amp;base=RLAW926&amp;n=292162&amp;dst=1006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969&amp;dst=8620" TargetMode="External"/><Relationship Id="rId12" Type="http://schemas.openxmlformats.org/officeDocument/2006/relationships/hyperlink" Target="https://login.consultant.ru/link/?req=doc&amp;base=LAW&amp;n=465969&amp;dst=10088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2162&amp;dst=100307" TargetMode="External"/><Relationship Id="rId11" Type="http://schemas.openxmlformats.org/officeDocument/2006/relationships/hyperlink" Target="https://login.consultant.ru/link/?req=doc&amp;base=LAW&amp;n=465969&amp;dst=104060" TargetMode="External"/><Relationship Id="rId5" Type="http://schemas.openxmlformats.org/officeDocument/2006/relationships/hyperlink" Target="https://login.consultant.ru/link/?req=doc&amp;base=RLAW926&amp;n=292162&amp;dst=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69&amp;dst=4519" TargetMode="External"/><Relationship Id="rId4" Type="http://schemas.openxmlformats.org/officeDocument/2006/relationships/hyperlink" Target="https://login.consultant.ru/link/?req=doc&amp;base=RLAW926&amp;n=292162&amp;dst=100419" TargetMode="External"/><Relationship Id="rId9" Type="http://schemas.openxmlformats.org/officeDocument/2006/relationships/hyperlink" Target="https://login.consultant.ru/link/?req=doc&amp;base=LAW&amp;n=465969&amp;dst=1647" TargetMode="External"/><Relationship Id="rId14" Type="http://schemas.openxmlformats.org/officeDocument/2006/relationships/hyperlink" Target="https://login.consultant.ru/link/?req=doc&amp;base=RLAW926&amp;n=292162&amp;dst=100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6</cp:revision>
  <cp:lastPrinted>2023-10-27T04:04:00Z</cp:lastPrinted>
  <dcterms:created xsi:type="dcterms:W3CDTF">2024-02-01T04:34:00Z</dcterms:created>
  <dcterms:modified xsi:type="dcterms:W3CDTF">2025-01-17T07:09:00Z</dcterms:modified>
</cp:coreProperties>
</file>