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0" w:name="P1116"/>
      <w:bookmarkEnd w:id="0"/>
      <w:r w:rsidRPr="00BC7C28">
        <w:rPr>
          <w:rFonts w:ascii="Times New Roman" w:hAnsi="Times New Roman" w:cs="Times New Roman"/>
        </w:rPr>
        <w:t>ПОЛОЖЕНИЕ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 КОМИССИИ ПО РАССМОТРЕНИЮ ЗАЯВОК УЧАСТНИКОВ ОТБОРА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НА ПОЛУЧЕНИЕ ГРАНТОВ В ФОРМЕ СУБСИДИЙ В РАМКАХ РЕАЛИЗАЦИИ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ПРОГРАММЫ "РАЗВИТИЕ МАЛОГО И СРЕДНЕГО ПРЕДПРИНИМАТЕЛЬСТВА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ИНВЕСТИЦИОННОЙ ДЕЯТЕЛЬНОСТИ 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1. Общие положения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1.1. Комиссия представляет собой коллегиальный орган, специально сформированный для рассмотрения и оценки заявок участников отбора на предоставление грантов в форме субсидии субъектам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(далее - участники отбора) (далее - Комиссия).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Комиссия в своей деятельности руководствуется </w:t>
      </w:r>
      <w:hyperlink r:id="rId4">
        <w:r w:rsidRPr="00BC7C28">
          <w:rPr>
            <w:rFonts w:ascii="Times New Roman" w:hAnsi="Times New Roman" w:cs="Times New Roman"/>
            <w:color w:val="0000FF"/>
          </w:rPr>
          <w:t>Конституцией</w:t>
        </w:r>
      </w:hyperlink>
      <w:r w:rsidRPr="00BC7C28">
        <w:rPr>
          <w:rFonts w:ascii="Times New Roman" w:hAnsi="Times New Roman" w:cs="Times New Roman"/>
        </w:rPr>
        <w:t xml:space="preserve"> Российской Федерации, Бюджетным </w:t>
      </w:r>
      <w:hyperlink r:id="rId5">
        <w:r w:rsidRPr="00BC7C28">
          <w:rPr>
            <w:rFonts w:ascii="Times New Roman" w:hAnsi="Times New Roman" w:cs="Times New Roman"/>
            <w:color w:val="0000FF"/>
          </w:rPr>
          <w:t>кодексом</w:t>
        </w:r>
      </w:hyperlink>
      <w:r w:rsidRPr="00BC7C28">
        <w:rPr>
          <w:rFonts w:ascii="Times New Roman" w:hAnsi="Times New Roman" w:cs="Times New Roman"/>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утвержденным постановлением Администрации города Когалыма (далее - Порядок).</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2. Основные задачи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2.1. Рассмотрение и оценка заявок участников отбора на предоставление грантов в форме субсидии, представленных участниками отбора, в соответствии с Порядком, принятие решений о прохождении отбора участниками отбора либо отклонении заявок участников отбора.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3. Порядок формирования Комиссии и состав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3.1. Комиссия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 Комиссия формируется на постоянной основе.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3.3. Комиссия состоит из председателя Комиссии, заместителя председателя Комиссии, секретаря и членов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3.4. Председателем Комиссии является глава города Когалыма, заместителем председателя Комиссии - заместитель главы города Когалыма, курирующий сферу финансов, вопросы муниципального имущества, жилищной политики, инвестиционной деятельности и развития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3.5. Секретарем Комиссии является специалист-эксперт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3.6. Членами Комиссии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Заместитель главы города Когалыма, курирующий вопросы экономики, муниципального заказа, финансово-экономического обеспечения и контроля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Председатель Комитета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Председатель Комитета по управлению муниципальным имуществом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юридического управления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управления культуры и спорта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4. Права и обязанности Комиссии членов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4.1. Комиссия принимает решение о прохождении или не прохождении отбора участниками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5. Порядок принятия Комиссией решения о прохождении отбора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участником отбора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пакета документов и публичной защиты бизнес-плана участником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Заседания Комиссии ведет председатель Комиссии или член Комиссии, уполномоченный председателем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5.3. Заседания Комиссии считаются правомочными, если на них присутствует более половины ее членов.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5.4. В случае отсутствия председателя 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5.5. По итогам рассмотрения заявок, пакетов документов и публичной защиты бизнес-плана участником отбора членами Комиссии принимается одно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как получателю бюджетных средств предоставить Грант в форме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5.6. Решение Комиссии оформляется протоколом, который подписывается председателем Комиссии и секретарем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5.7. Комиссия оценивает заявку, пакет документов и бизнес-план участника отбора, руководствуясь следующими критериями: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актуальность и социальная значимость проекта для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создание дополнительных рабочих мест в рамках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материально-технической, ресурсной базы для достижения результатов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5.8. Оценка бизнес плана каждым членом Комиссии проводится путем заполнения оценочных листов на бумажном носителе и оформляется по форме: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198">
        <w:r w:rsidRPr="00BC7C28">
          <w:rPr>
            <w:rFonts w:ascii="Times New Roman" w:hAnsi="Times New Roman" w:cs="Times New Roman"/>
            <w:color w:val="0000FF"/>
          </w:rPr>
          <w:t>приложению 1</w:t>
        </w:r>
      </w:hyperlink>
      <w:r w:rsidRPr="00BC7C28">
        <w:rPr>
          <w:rFonts w:ascii="Times New Roman" w:hAnsi="Times New Roman" w:cs="Times New Roman"/>
        </w:rPr>
        <w:t xml:space="preserve"> к настоящему Положению (при оценке бизнес плана участников отбора грантовой поддержки по следующим направлениям: грантовая поддержка на развитие предпринимательства, грантовая поддержка на развитие молодежного предпринимательства, грантовая поддержка социального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277">
        <w:r w:rsidRPr="00BC7C28">
          <w:rPr>
            <w:rFonts w:ascii="Times New Roman" w:hAnsi="Times New Roman" w:cs="Times New Roman"/>
            <w:color w:val="0000FF"/>
          </w:rPr>
          <w:t>приложению 2</w:t>
        </w:r>
      </w:hyperlink>
      <w:r w:rsidRPr="00BC7C28">
        <w:rPr>
          <w:rFonts w:ascii="Times New Roman" w:hAnsi="Times New Roman" w:cs="Times New Roman"/>
        </w:rPr>
        <w:t xml:space="preserve"> к настоящему Положению при оценке бизнес плана участников отбора грантовой поддержки креативного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5.9.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 Итоговая ведомость подписывается председателем Комиссии и секретарем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5.10. Победителями признаются участники отбора,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Грантов в форме субсидии имеют участники отбора, бизнес-планы которых предусматривают создание наибольшего количества рабочих мест.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5.11.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дата, время и место оценки заявок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наименование получателя (получателей) Гранта, с которым заключается Соглашение, и размер предоставляемого ему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5.12. Секретарь Комиссии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right"/>
        <w:outlineLvl w:val="2"/>
        <w:rPr>
          <w:rFonts w:ascii="Times New Roman" w:hAnsi="Times New Roman" w:cs="Times New Roman"/>
        </w:rPr>
      </w:pPr>
      <w:r w:rsidRPr="00BC7C28">
        <w:rPr>
          <w:rFonts w:ascii="Times New Roman" w:hAnsi="Times New Roman" w:cs="Times New Roman"/>
        </w:rPr>
        <w:t>Приложение 1</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Положению</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 Комиссии по рассмотрению заявок участников</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отбора на получение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w:t>
      </w:r>
      <w:bookmarkStart w:id="1" w:name="_GoBack"/>
      <w:bookmarkEnd w:id="1"/>
      <w:r w:rsidRPr="00BC7C28">
        <w:rPr>
          <w:rFonts w:ascii="Times New Roman" w:hAnsi="Times New Roman" w:cs="Times New Roman"/>
        </w:rPr>
        <w:t>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2" w:name="P1198"/>
      <w:bookmarkEnd w:id="2"/>
      <w:r w:rsidRPr="00BC7C28">
        <w:rPr>
          <w:rFonts w:ascii="Times New Roman" w:hAnsi="Times New Roman" w:cs="Times New Roman"/>
        </w:rPr>
        <w:t>Оценочный лист</w:t>
      </w:r>
    </w:p>
    <w:p w:rsidR="00BC7C28" w:rsidRPr="00BC7C28" w:rsidRDefault="00BC7C28">
      <w:pPr>
        <w:pStyle w:val="ConsPlusNormal"/>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Участник отбора _________________________________________________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Наименование бизнес-плана 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Ф.И.О. члена комиссии для рассмотрения и оценки заявок участников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отбора на предоставление грантов в форме субсидии ____________________</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912"/>
        <w:gridCol w:w="1474"/>
        <w:gridCol w:w="1587"/>
        <w:gridCol w:w="1531"/>
      </w:tblGrid>
      <w:tr w:rsidR="00BC7C28" w:rsidRPr="00BC7C28">
        <w:tc>
          <w:tcPr>
            <w:tcW w:w="558"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 п/п</w:t>
            </w:r>
          </w:p>
        </w:tc>
        <w:tc>
          <w:tcPr>
            <w:tcW w:w="3912"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Критерий оценки бизнес планов &lt;*&gt;</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Весовое значение критерия в общей оценке</w:t>
            </w:r>
          </w:p>
        </w:tc>
        <w:tc>
          <w:tcPr>
            <w:tcW w:w="1587"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w:t>
            </w:r>
          </w:p>
        </w:tc>
        <w:tc>
          <w:tcPr>
            <w:tcW w:w="1531"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 с учетом весового значения критерия</w:t>
            </w: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Актуальность и социальная значимость проекта для города Когалыма</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2.</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Создание дополнительных рабочих мест в рамках реализации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(не предполагает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1 - 2 рабочих места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 и более рабочих места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0,3</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аренда менее 1 года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от 1 года до 3 лет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свыше 3 лет, здание (помещение, земельный участок) находится в собственности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4.</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материально-технической, ресурсной базы для достижения результатов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частично имеется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 наличие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5.</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 xml:space="preserve">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10% (</w:t>
            </w:r>
            <w:hyperlink w:anchor="P694">
              <w:r w:rsidRPr="00BC7C28">
                <w:rPr>
                  <w:rFonts w:ascii="Times New Roman" w:hAnsi="Times New Roman" w:cs="Times New Roman"/>
                  <w:color w:val="0000FF"/>
                </w:rPr>
                <w:t>пункт 3.2.2</w:t>
              </w:r>
            </w:hyperlink>
            <w:r w:rsidRPr="00BC7C28">
              <w:rPr>
                <w:rFonts w:ascii="Times New Roman" w:hAnsi="Times New Roman" w:cs="Times New Roman"/>
              </w:rPr>
              <w:t xml:space="preserve"> Порядка)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15% (</w:t>
            </w:r>
            <w:hyperlink w:anchor="P682">
              <w:r w:rsidRPr="00BC7C28">
                <w:rPr>
                  <w:rFonts w:ascii="Times New Roman" w:hAnsi="Times New Roman" w:cs="Times New Roman"/>
                  <w:color w:val="0000FF"/>
                </w:rPr>
                <w:t>пункты 3.2.1</w:t>
              </w:r>
            </w:hyperlink>
            <w:r w:rsidRPr="00BC7C28">
              <w:rPr>
                <w:rFonts w:ascii="Times New Roman" w:hAnsi="Times New Roman" w:cs="Times New Roman"/>
              </w:rPr>
              <w:t xml:space="preserve">, </w:t>
            </w:r>
            <w:hyperlink w:anchor="P697">
              <w:r w:rsidRPr="00BC7C28">
                <w:rPr>
                  <w:rFonts w:ascii="Times New Roman" w:hAnsi="Times New Roman" w:cs="Times New Roman"/>
                  <w:color w:val="0000FF"/>
                </w:rPr>
                <w:t>3.2.3</w:t>
              </w:r>
            </w:hyperlink>
            <w:r w:rsidRPr="00BC7C28">
              <w:rPr>
                <w:rFonts w:ascii="Times New Roman" w:hAnsi="Times New Roman" w:cs="Times New Roman"/>
              </w:rPr>
              <w:t xml:space="preserve">, </w:t>
            </w:r>
            <w:hyperlink w:anchor="P700">
              <w:r w:rsidRPr="00BC7C28">
                <w:rPr>
                  <w:rFonts w:ascii="Times New Roman" w:hAnsi="Times New Roman" w:cs="Times New Roman"/>
                  <w:color w:val="0000FF"/>
                </w:rPr>
                <w:t>3.2.4</w:t>
              </w:r>
            </w:hyperlink>
            <w:r w:rsidRPr="00BC7C28">
              <w:rPr>
                <w:rFonts w:ascii="Times New Roman" w:hAnsi="Times New Roman" w:cs="Times New Roman"/>
              </w:rPr>
              <w:t xml:space="preserve"> Порядка)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11 - 50% (</w:t>
            </w:r>
            <w:hyperlink w:anchor="P694">
              <w:r w:rsidRPr="00BC7C28">
                <w:rPr>
                  <w:rFonts w:ascii="Times New Roman" w:hAnsi="Times New Roman" w:cs="Times New Roman"/>
                  <w:color w:val="0000FF"/>
                </w:rPr>
                <w:t>пункт 3.2.2</w:t>
              </w:r>
            </w:hyperlink>
            <w:r w:rsidRPr="00BC7C28">
              <w:rPr>
                <w:rFonts w:ascii="Times New Roman" w:hAnsi="Times New Roman" w:cs="Times New Roman"/>
              </w:rPr>
              <w:t xml:space="preserve"> Порядка)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16 - 50% (</w:t>
            </w:r>
            <w:hyperlink w:anchor="P682">
              <w:r w:rsidRPr="00BC7C28">
                <w:rPr>
                  <w:rFonts w:ascii="Times New Roman" w:hAnsi="Times New Roman" w:cs="Times New Roman"/>
                  <w:color w:val="0000FF"/>
                </w:rPr>
                <w:t>пункты 3.2.1</w:t>
              </w:r>
            </w:hyperlink>
            <w:r w:rsidRPr="00BC7C28">
              <w:rPr>
                <w:rFonts w:ascii="Times New Roman" w:hAnsi="Times New Roman" w:cs="Times New Roman"/>
              </w:rPr>
              <w:t xml:space="preserve">, </w:t>
            </w:r>
            <w:hyperlink w:anchor="P697">
              <w:r w:rsidRPr="00BC7C28">
                <w:rPr>
                  <w:rFonts w:ascii="Times New Roman" w:hAnsi="Times New Roman" w:cs="Times New Roman"/>
                  <w:color w:val="0000FF"/>
                </w:rPr>
                <w:t>3.2.3</w:t>
              </w:r>
            </w:hyperlink>
            <w:r w:rsidRPr="00BC7C28">
              <w:rPr>
                <w:rFonts w:ascii="Times New Roman" w:hAnsi="Times New Roman" w:cs="Times New Roman"/>
              </w:rPr>
              <w:t xml:space="preserve">, </w:t>
            </w:r>
            <w:hyperlink w:anchor="P700">
              <w:r w:rsidRPr="00BC7C28">
                <w:rPr>
                  <w:rFonts w:ascii="Times New Roman" w:hAnsi="Times New Roman" w:cs="Times New Roman"/>
                  <w:color w:val="0000FF"/>
                </w:rPr>
                <w:t>3.2.4</w:t>
              </w:r>
            </w:hyperlink>
            <w:r w:rsidRPr="00BC7C28">
              <w:rPr>
                <w:rFonts w:ascii="Times New Roman" w:hAnsi="Times New Roman" w:cs="Times New Roman"/>
              </w:rPr>
              <w:t xml:space="preserve"> Порядка)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 51%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Всего баллов:</w:t>
            </w:r>
          </w:p>
        </w:tc>
        <w:tc>
          <w:tcPr>
            <w:tcW w:w="1474" w:type="dxa"/>
          </w:tcPr>
          <w:p w:rsidR="00BC7C28" w:rsidRPr="00BC7C28" w:rsidRDefault="00BC7C28">
            <w:pPr>
              <w:pStyle w:val="ConsPlusNormal"/>
              <w:rPr>
                <w:rFonts w:ascii="Times New Roman" w:hAnsi="Times New Roman" w:cs="Times New Roman"/>
              </w:rPr>
            </w:pP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30 баллов низкая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60 баллов средняя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100 баллов высокая степень оценки критерия.</w:t>
      </w:r>
    </w:p>
    <w:p w:rsidR="00BC7C28" w:rsidRPr="00BC7C28" w:rsidRDefault="00BC7C2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49"/>
      </w:tblGrid>
      <w:tr w:rsidR="00BC7C28" w:rsidRPr="00BC7C28">
        <w:tc>
          <w:tcPr>
            <w:tcW w:w="2721" w:type="dxa"/>
            <w:tcBorders>
              <w:top w:val="nil"/>
              <w:left w:val="nil"/>
              <w:bottom w:val="nil"/>
              <w:right w:val="nil"/>
            </w:tcBorders>
          </w:tcPr>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6349" w:type="dxa"/>
            <w:tcBorders>
              <w:top w:val="nil"/>
              <w:left w:val="nil"/>
              <w:bottom w:val="nil"/>
              <w:right w:val="nil"/>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2"/>
        <w:rPr>
          <w:rFonts w:ascii="Times New Roman" w:hAnsi="Times New Roman" w:cs="Times New Roman"/>
        </w:rPr>
      </w:pPr>
      <w:r w:rsidRPr="00BC7C28">
        <w:rPr>
          <w:rFonts w:ascii="Times New Roman" w:hAnsi="Times New Roman" w:cs="Times New Roman"/>
        </w:rPr>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Положению</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 Комиссии по рассмотрению заявок участников</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отбора на получение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3" w:name="P1277"/>
      <w:bookmarkEnd w:id="3"/>
      <w:r w:rsidRPr="00BC7C28">
        <w:rPr>
          <w:rFonts w:ascii="Times New Roman" w:hAnsi="Times New Roman" w:cs="Times New Roman"/>
        </w:rPr>
        <w:t>Оценочный лист</w:t>
      </w:r>
    </w:p>
    <w:p w:rsidR="00BC7C28" w:rsidRPr="00BC7C28" w:rsidRDefault="00BC7C28">
      <w:pPr>
        <w:pStyle w:val="ConsPlusNormal"/>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Участник отбора _________________________________________________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Наименование бизнес-плана 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Ф.И.О. члена комиссии для рассмотрения и оценки заявок участников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отбора на предоставление грантов в форме субсидии ___________________</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912"/>
        <w:gridCol w:w="1474"/>
        <w:gridCol w:w="1587"/>
        <w:gridCol w:w="1531"/>
      </w:tblGrid>
      <w:tr w:rsidR="00BC7C28" w:rsidRPr="00BC7C28">
        <w:tc>
          <w:tcPr>
            <w:tcW w:w="558"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 п/п</w:t>
            </w:r>
          </w:p>
        </w:tc>
        <w:tc>
          <w:tcPr>
            <w:tcW w:w="3912"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Критерий оценки бизнес планов &lt;*&gt;</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Весовое значение критерия в общей оценке</w:t>
            </w:r>
          </w:p>
        </w:tc>
        <w:tc>
          <w:tcPr>
            <w:tcW w:w="1587"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w:t>
            </w:r>
          </w:p>
        </w:tc>
        <w:tc>
          <w:tcPr>
            <w:tcW w:w="1531"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 с учетом весового значения критерия</w:t>
            </w: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Актуальность и социальная значимость проекта для города Когалыма</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2.</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Создание дополнительных рабочих мест в рамках реализации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(не предполагает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1 - 2 рабочих места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 и более рабочих места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аренда менее 1 года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от 1 года до 3 лет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свыше 3 лет, здание (помещение, земельный участок) находится в собственности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4.</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материально-технической, ресурсной базы для достижения результатов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частично имеется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 наличие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5.</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 xml:space="preserve">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15%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16 - 50%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 51%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6.</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Бизнес-планом предусмотрено изготовление сувенирной продукции</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Всего баллов:</w:t>
            </w:r>
          </w:p>
        </w:tc>
        <w:tc>
          <w:tcPr>
            <w:tcW w:w="1474" w:type="dxa"/>
          </w:tcPr>
          <w:p w:rsidR="00BC7C28" w:rsidRPr="00BC7C28" w:rsidRDefault="00BC7C28">
            <w:pPr>
              <w:pStyle w:val="ConsPlusNormal"/>
              <w:rPr>
                <w:rFonts w:ascii="Times New Roman" w:hAnsi="Times New Roman" w:cs="Times New Roman"/>
              </w:rPr>
            </w:pP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30 баллов низкая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60 баллов средняя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100 баллов высокая степень оценки критерия.</w:t>
      </w:r>
    </w:p>
    <w:p w:rsidR="00BC7C28" w:rsidRPr="00BC7C28" w:rsidRDefault="00BC7C2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49"/>
      </w:tblGrid>
      <w:tr w:rsidR="00BC7C28" w:rsidRPr="00BC7C28">
        <w:tc>
          <w:tcPr>
            <w:tcW w:w="2721" w:type="dxa"/>
            <w:tcBorders>
              <w:top w:val="nil"/>
              <w:left w:val="nil"/>
              <w:bottom w:val="nil"/>
              <w:right w:val="nil"/>
            </w:tcBorders>
          </w:tcPr>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6349" w:type="dxa"/>
            <w:tcBorders>
              <w:top w:val="nil"/>
              <w:left w:val="nil"/>
              <w:bottom w:val="nil"/>
              <w:right w:val="nil"/>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pBdr>
          <w:bottom w:val="single" w:sz="6" w:space="0" w:color="auto"/>
        </w:pBdr>
        <w:spacing w:before="100" w:after="100"/>
        <w:jc w:val="both"/>
        <w:rPr>
          <w:rFonts w:ascii="Times New Roman" w:hAnsi="Times New Roman" w:cs="Times New Roman"/>
          <w:sz w:val="2"/>
          <w:szCs w:val="2"/>
        </w:rPr>
      </w:pPr>
    </w:p>
    <w:p w:rsidR="00037E8A" w:rsidRPr="00BC7C28" w:rsidRDefault="00037E8A">
      <w:pPr>
        <w:rPr>
          <w:rFonts w:ascii="Times New Roman" w:hAnsi="Times New Roman" w:cs="Times New Roman"/>
        </w:rPr>
      </w:pPr>
    </w:p>
    <w:sectPr w:rsidR="00037E8A" w:rsidRPr="00BC7C28" w:rsidSect="00326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28"/>
    <w:rsid w:val="00037E8A"/>
    <w:rsid w:val="00BC7C28"/>
    <w:rsid w:val="00DF1E24"/>
    <w:rsid w:val="00E7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53EB2-2908-467A-8A5E-134FD7C4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C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C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C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5710" TargetMode="External"/><Relationship Id="rId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Спиридонова Юлия Леонидовна</dc:creator>
  <cp:keywords/>
  <dc:description/>
  <cp:lastModifiedBy>Спиридонова Юлия Леонидовна</cp:lastModifiedBy>
  <cp:revision>3</cp:revision>
  <dcterms:created xsi:type="dcterms:W3CDTF">2026-04-24T06:24:00Z</dcterms:created>
  <dcterms:modified xsi:type="dcterms:W3CDTF">2026-04-24T06:25:00Z</dcterms:modified>
</cp:coreProperties>
</file>