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7" w:rsidRPr="00995647" w:rsidRDefault="00301A17" w:rsidP="00995647">
      <w:pPr>
        <w:ind w:left="708" w:right="-284" w:hanging="708"/>
        <w:jc w:val="center"/>
        <w:rPr>
          <w:rFonts w:ascii="Times New Roman" w:hAnsi="Times New Roman"/>
          <w:b/>
          <w:sz w:val="26"/>
          <w:szCs w:val="26"/>
        </w:rPr>
      </w:pPr>
      <w:r w:rsidRPr="00995647">
        <w:rPr>
          <w:rFonts w:ascii="Times New Roman" w:hAnsi="Times New Roman"/>
          <w:b/>
          <w:sz w:val="26"/>
          <w:szCs w:val="26"/>
        </w:rPr>
        <w:t>Информация</w:t>
      </w:r>
    </w:p>
    <w:p w:rsidR="00301A17" w:rsidRPr="00995647" w:rsidRDefault="00301A17" w:rsidP="00995647">
      <w:pPr>
        <w:pStyle w:val="a5"/>
        <w:ind w:right="-284"/>
        <w:jc w:val="center"/>
        <w:rPr>
          <w:b/>
          <w:sz w:val="26"/>
          <w:szCs w:val="26"/>
        </w:rPr>
      </w:pPr>
      <w:r w:rsidRPr="00995647">
        <w:rPr>
          <w:b/>
          <w:sz w:val="26"/>
          <w:szCs w:val="26"/>
        </w:rPr>
        <w:t xml:space="preserve">по результатам </w:t>
      </w:r>
      <w:r w:rsidRPr="00995647">
        <w:rPr>
          <w:b/>
          <w:sz w:val="26"/>
          <w:szCs w:val="26"/>
          <w:lang w:eastAsia="ar-SA"/>
        </w:rPr>
        <w:t>экспертного мероприятия</w:t>
      </w:r>
      <w:r w:rsidRPr="00995647">
        <w:rPr>
          <w:b/>
          <w:sz w:val="26"/>
          <w:szCs w:val="26"/>
        </w:rPr>
        <w:t xml:space="preserve"> «Проверка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лицам»</w:t>
      </w:r>
      <w:r w:rsidRPr="00995647">
        <w:rPr>
          <w:b/>
          <w:sz w:val="26"/>
          <w:szCs w:val="26"/>
          <w:lang w:eastAsia="ar-SA"/>
        </w:rPr>
        <w:t xml:space="preserve">, в части исполнения </w:t>
      </w:r>
      <w:r w:rsidRPr="00995647">
        <w:rPr>
          <w:b/>
          <w:sz w:val="26"/>
          <w:szCs w:val="26"/>
        </w:rPr>
        <w:t xml:space="preserve">постановления Администрации города Когалыма от 15.11.2021 №2315 «Об утверждении </w:t>
      </w:r>
      <w:hyperlink r:id="rId5" w:anchor="P38" w:tooltip="ПОРЯДОК" w:history="1">
        <w:r w:rsidRPr="00995647">
          <w:rPr>
            <w:rStyle w:val="a3"/>
            <w:b/>
            <w:color w:val="auto"/>
            <w:sz w:val="26"/>
            <w:szCs w:val="26"/>
            <w:u w:val="none"/>
          </w:rPr>
          <w:t>Порядка</w:t>
        </w:r>
      </w:hyperlink>
      <w:r w:rsidRPr="00995647">
        <w:rPr>
          <w:b/>
          <w:sz w:val="26"/>
          <w:szCs w:val="26"/>
        </w:rPr>
        <w:t xml:space="preserve">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 в 2024 году.</w:t>
      </w:r>
    </w:p>
    <w:p w:rsidR="00AE1FFF" w:rsidRDefault="00AE1FFF" w:rsidP="00301A17">
      <w:pPr>
        <w:autoSpaceDE w:val="0"/>
        <w:autoSpaceDN w:val="0"/>
        <w:adjustRightInd w:val="0"/>
        <w:ind w:right="-284" w:firstLine="708"/>
        <w:jc w:val="both"/>
        <w:rPr>
          <w:rFonts w:ascii="Times New Roman" w:hAnsi="Times New Roman"/>
          <w:sz w:val="26"/>
          <w:szCs w:val="26"/>
        </w:rPr>
      </w:pPr>
    </w:p>
    <w:p w:rsidR="00301A17" w:rsidRDefault="00301A17" w:rsidP="00301A17">
      <w:pPr>
        <w:autoSpaceDE w:val="0"/>
        <w:autoSpaceDN w:val="0"/>
        <w:adjustRightInd w:val="0"/>
        <w:ind w:right="-28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</w:t>
      </w:r>
      <w:r>
        <w:rPr>
          <w:rFonts w:ascii="Times New Roman" w:hAnsi="Times New Roman"/>
          <w:sz w:val="26"/>
          <w:szCs w:val="26"/>
          <w:lang w:eastAsia="ar-SA"/>
        </w:rPr>
        <w:t xml:space="preserve"> пунктом 1.11. плана работы на 2024 год,</w:t>
      </w:r>
      <w:r>
        <w:rPr>
          <w:rFonts w:ascii="Times New Roman" w:hAnsi="Times New Roman"/>
          <w:sz w:val="26"/>
          <w:szCs w:val="26"/>
        </w:rPr>
        <w:t xml:space="preserve"> статьи 78 Бюджетного кодекса РФ, стандартом внешнего муниципального финансового контроля «Общие правила проведения экспертно-аналитического мероприятия» </w:t>
      </w:r>
      <w:r w:rsidR="00761FA7">
        <w:rPr>
          <w:rFonts w:ascii="Times New Roman" w:hAnsi="Times New Roman"/>
          <w:sz w:val="26"/>
          <w:szCs w:val="26"/>
          <w:lang w:eastAsia="ar-SA"/>
        </w:rPr>
        <w:t>Контрольно-счетной палатой города Когалыма</w:t>
      </w:r>
      <w:r w:rsidR="00761F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проведено</w:t>
      </w:r>
      <w:r>
        <w:rPr>
          <w:rFonts w:ascii="Times New Roman" w:hAnsi="Times New Roman"/>
          <w:sz w:val="26"/>
          <w:szCs w:val="26"/>
          <w:lang w:eastAsia="ar-SA"/>
        </w:rPr>
        <w:t xml:space="preserve"> экспертное мероприятие </w:t>
      </w:r>
      <w:r>
        <w:rPr>
          <w:rFonts w:ascii="Times New Roman" w:hAnsi="Times New Roman"/>
          <w:sz w:val="26"/>
          <w:szCs w:val="26"/>
        </w:rPr>
        <w:t>«Проверка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лицам»</w:t>
      </w:r>
      <w:r>
        <w:rPr>
          <w:rFonts w:ascii="Times New Roman" w:hAnsi="Times New Roman"/>
          <w:sz w:val="26"/>
          <w:szCs w:val="26"/>
          <w:lang w:eastAsia="ar-SA"/>
        </w:rPr>
        <w:t xml:space="preserve">, в части исполнения </w:t>
      </w:r>
      <w:r>
        <w:rPr>
          <w:rFonts w:ascii="Times New Roman" w:hAnsi="Times New Roman"/>
          <w:sz w:val="26"/>
          <w:szCs w:val="26"/>
        </w:rPr>
        <w:t>постановления Администрации города Когалыма от 15.11.2021 №2315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утверждении </w:t>
      </w:r>
      <w:hyperlink r:id="rId6" w:anchor="P38" w:tooltip="ПОРЯДОК" w:history="1">
        <w:r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Порядка</w:t>
        </w:r>
      </w:hyperlink>
      <w:r>
        <w:rPr>
          <w:rFonts w:ascii="Times New Roman" w:hAnsi="Times New Roman"/>
          <w:sz w:val="26"/>
          <w:szCs w:val="26"/>
        </w:rPr>
        <w:t xml:space="preserve">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 в 2024 году. Срок проведения мероприятия: октябрь – декабрь 2025 года.</w:t>
      </w:r>
    </w:p>
    <w:p w:rsidR="00301A17" w:rsidRDefault="00301A17" w:rsidP="00301A17">
      <w:pPr>
        <w:autoSpaceDE w:val="0"/>
        <w:autoSpaceDN w:val="0"/>
        <w:adjustRightInd w:val="0"/>
        <w:ind w:right="-284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Объектами экспертно-аналитического мероприятия являлись:</w:t>
      </w:r>
    </w:p>
    <w:p w:rsidR="00301A17" w:rsidRDefault="00301A17" w:rsidP="00301A17">
      <w:pPr>
        <w:autoSpaceDE w:val="0"/>
        <w:autoSpaceDN w:val="0"/>
        <w:adjustRightInd w:val="0"/>
        <w:ind w:right="-284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Администрация города Когалыма;</w:t>
      </w:r>
    </w:p>
    <w:p w:rsidR="00301A17" w:rsidRDefault="00492E93" w:rsidP="00301A17">
      <w:pPr>
        <w:autoSpaceDE w:val="0"/>
        <w:autoSpaceDN w:val="0"/>
        <w:adjustRightInd w:val="0"/>
        <w:ind w:right="-284"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bookmarkStart w:id="0" w:name="_GoBack"/>
      <w:bookmarkEnd w:id="0"/>
      <w:r w:rsidR="00301A17">
        <w:rPr>
          <w:rFonts w:ascii="Times New Roman" w:hAnsi="Times New Roman"/>
          <w:sz w:val="26"/>
          <w:szCs w:val="26"/>
        </w:rPr>
        <w:t>Автономная коммерческая организация Центр развития добровольчества (</w:t>
      </w:r>
      <w:proofErr w:type="spellStart"/>
      <w:r w:rsidR="00301A17">
        <w:rPr>
          <w:rFonts w:ascii="Times New Roman" w:hAnsi="Times New Roman"/>
          <w:sz w:val="26"/>
          <w:szCs w:val="26"/>
        </w:rPr>
        <w:t>волонтёрства</w:t>
      </w:r>
      <w:proofErr w:type="spellEnd"/>
      <w:r w:rsidR="00301A17">
        <w:rPr>
          <w:rFonts w:ascii="Times New Roman" w:hAnsi="Times New Roman"/>
          <w:sz w:val="26"/>
          <w:szCs w:val="26"/>
        </w:rPr>
        <w:t xml:space="preserve">) в городе Когалыме «Навигатор добра </w:t>
      </w:r>
    </w:p>
    <w:p w:rsidR="00301A17" w:rsidRDefault="00301A17" w:rsidP="00301A17">
      <w:pPr>
        <w:ind w:right="-284" w:firstLine="851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По результатам экспертно-аналитического мероприятия установлено следующее. </w:t>
      </w:r>
    </w:p>
    <w:p w:rsidR="00301A17" w:rsidRDefault="00301A17" w:rsidP="00301A17">
      <w:pPr>
        <w:ind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Нарушений условий Порядка при проведении отбора на предоставление рассматриваемой субсидии не установлено. </w:t>
      </w:r>
    </w:p>
    <w:p w:rsidR="00301A17" w:rsidRDefault="00301A17" w:rsidP="00301A17">
      <w:pPr>
        <w:ind w:right="-284" w:firstLine="567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 С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учетом  суммы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остатка неиспользованных средств субсидии выделенных на </w:t>
      </w:r>
      <w:r w:rsidR="00761FA7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2024 год, которая составляет 627 296,2 рублей, отмечается неэффективное использование средств субсидии выделенных </w:t>
      </w:r>
      <w:r>
        <w:rPr>
          <w:rFonts w:ascii="Times New Roman" w:hAnsi="Times New Roman"/>
          <w:sz w:val="26"/>
          <w:szCs w:val="26"/>
        </w:rPr>
        <w:t xml:space="preserve">АНО ЦРД «Навигатор добра» </w:t>
      </w:r>
      <w:r>
        <w:rPr>
          <w:rFonts w:ascii="Times New Roman" w:eastAsia="Times New Roman" w:hAnsi="Times New Roman"/>
          <w:sz w:val="26"/>
          <w:szCs w:val="26"/>
        </w:rPr>
        <w:t xml:space="preserve">на 2024 год.    </w:t>
      </w:r>
    </w:p>
    <w:p w:rsidR="00301A17" w:rsidRDefault="00301A17" w:rsidP="00301A17">
      <w:pPr>
        <w:ind w:right="-284" w:firstLine="567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 xml:space="preserve">В нарушение требований, установленных пунктом 3 Соглашения о предоставлении </w:t>
      </w:r>
      <w:proofErr w:type="gramStart"/>
      <w:r>
        <w:rPr>
          <w:rFonts w:ascii="Times New Roman" w:hAnsi="Times New Roman"/>
          <w:sz w:val="26"/>
          <w:szCs w:val="26"/>
        </w:rPr>
        <w:t>субсидии  №</w:t>
      </w:r>
      <w:proofErr w:type="gramEnd"/>
      <w:r>
        <w:rPr>
          <w:rFonts w:ascii="Times New Roman" w:hAnsi="Times New Roman"/>
          <w:sz w:val="26"/>
          <w:szCs w:val="26"/>
        </w:rPr>
        <w:t xml:space="preserve">137 от 08.02.2024 платежным поручением №16 АНО ЦРД «Навигатор добра» произведен возврат неиспользованной субсидии за 2023 год в сумме 413 759,83 рублей, из которых сумма </w:t>
      </w:r>
      <w:r w:rsidRPr="00761FA7">
        <w:rPr>
          <w:rFonts w:ascii="Times New Roman" w:hAnsi="Times New Roman"/>
          <w:sz w:val="26"/>
          <w:szCs w:val="26"/>
        </w:rPr>
        <w:t>32 775,25 рублей</w:t>
      </w:r>
      <w:r>
        <w:rPr>
          <w:rFonts w:ascii="Times New Roman" w:hAnsi="Times New Roman"/>
          <w:sz w:val="26"/>
          <w:szCs w:val="26"/>
        </w:rPr>
        <w:t xml:space="preserve"> за счет средств субсидии предоставленной на 2024 год, которая при указанных обстоятельствах, необоснованно использована на оплату прошлых лет Получателя., то есть на цели не связанные  </w:t>
      </w:r>
      <w:r w:rsidR="00873D9F">
        <w:rPr>
          <w:rFonts w:ascii="Times New Roman" w:hAnsi="Times New Roman"/>
          <w:sz w:val="26"/>
          <w:szCs w:val="26"/>
        </w:rPr>
        <w:t xml:space="preserve">с представленной </w:t>
      </w:r>
      <w:r>
        <w:rPr>
          <w:rFonts w:ascii="Times New Roman" w:hAnsi="Times New Roman"/>
          <w:sz w:val="26"/>
          <w:szCs w:val="26"/>
        </w:rPr>
        <w:t>субсидии.</w:t>
      </w:r>
    </w:p>
    <w:p w:rsidR="00301A17" w:rsidRDefault="00301A17" w:rsidP="00301A17">
      <w:pPr>
        <w:pStyle w:val="a7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73D9F">
        <w:rPr>
          <w:rFonts w:eastAsiaTheme="minorHAnsi"/>
          <w:bCs/>
          <w:sz w:val="26"/>
          <w:szCs w:val="26"/>
        </w:rPr>
        <w:t>В</w:t>
      </w:r>
      <w:r>
        <w:rPr>
          <w:rFonts w:eastAsiaTheme="minorHAnsi"/>
          <w:bCs/>
          <w:sz w:val="26"/>
          <w:szCs w:val="26"/>
        </w:rPr>
        <w:t xml:space="preserve"> нарушение требований статей 10 и 13  Федерального закона РФ от 06.12.2011 №402 «О бухгалтерском учете», а так же условий Порядка 2315 и Соглашения №137, договора на оказание бухгалтерских услуг, отдельные </w:t>
      </w:r>
      <w:r>
        <w:rPr>
          <w:rFonts w:eastAsiaTheme="minorHAnsi"/>
          <w:sz w:val="26"/>
          <w:szCs w:val="26"/>
        </w:rPr>
        <w:t xml:space="preserve">данные о финансово-хозяйственной деятельности Общества, содержащиеся в первичных учетных </w:t>
      </w:r>
      <w:r>
        <w:rPr>
          <w:rFonts w:eastAsiaTheme="minorHAnsi"/>
          <w:sz w:val="26"/>
          <w:szCs w:val="26"/>
        </w:rPr>
        <w:lastRenderedPageBreak/>
        <w:t xml:space="preserve">документах своевременно не регистрируются и не отражаются должным образом в </w:t>
      </w:r>
      <w:hyperlink r:id="rId7" w:history="1">
        <w:r>
          <w:rPr>
            <w:rStyle w:val="a3"/>
            <w:rFonts w:eastAsiaTheme="minorHAnsi"/>
            <w:color w:val="auto"/>
            <w:sz w:val="26"/>
            <w:szCs w:val="26"/>
            <w:u w:val="none"/>
          </w:rPr>
          <w:t>регистрах</w:t>
        </w:r>
      </w:hyperlink>
      <w:r>
        <w:rPr>
          <w:rFonts w:eastAsiaTheme="minorHAnsi"/>
          <w:sz w:val="26"/>
          <w:szCs w:val="26"/>
        </w:rPr>
        <w:t xml:space="preserve"> бухгалтерского учета, что в итоге, повлекло   недостоверность сведений в Отчете о расходах источником финансового обеспечения которых является Субсидии на 31 декабря 2024 года, в том числе искажение суммы подлежащей возврату на </w:t>
      </w:r>
      <w:r>
        <w:rPr>
          <w:sz w:val="26"/>
          <w:szCs w:val="26"/>
        </w:rPr>
        <w:t>51 457,25 рублей, которые необоснованно возвращены в бюджет города Когалыма.</w:t>
      </w:r>
    </w:p>
    <w:p w:rsidR="00301A17" w:rsidRDefault="00873D9F" w:rsidP="00301A17">
      <w:pPr>
        <w:pStyle w:val="a7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01A17">
        <w:rPr>
          <w:sz w:val="26"/>
          <w:szCs w:val="26"/>
        </w:rPr>
        <w:t>. В нарушение Трудового Кодекса РФ и Постановления Правительства РФ от 13.10.2008 №749 работники НКО направлялись в командировки без оформления распоряжения о направлении в командировку, отчета о его выполнении</w:t>
      </w:r>
      <w:r w:rsidR="00761FA7">
        <w:rPr>
          <w:sz w:val="26"/>
          <w:szCs w:val="26"/>
        </w:rPr>
        <w:t>, а</w:t>
      </w:r>
      <w:r w:rsidR="00301A17">
        <w:rPr>
          <w:sz w:val="26"/>
          <w:szCs w:val="26"/>
        </w:rPr>
        <w:t xml:space="preserve"> авансовые отчеты в бухгалтерию не предоставлялись. </w:t>
      </w:r>
    </w:p>
    <w:p w:rsidR="00301A17" w:rsidRDefault="00873D9F" w:rsidP="00301A17">
      <w:pPr>
        <w:pStyle w:val="a7"/>
        <w:ind w:left="0" w:righ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01A17">
        <w:rPr>
          <w:sz w:val="26"/>
          <w:szCs w:val="26"/>
        </w:rPr>
        <w:t>. В Отчете о расходах, источником финансового обеспечения которых являются Субсидии в строке «</w:t>
      </w:r>
      <w:proofErr w:type="spellStart"/>
      <w:r w:rsidR="00301A17">
        <w:rPr>
          <w:sz w:val="26"/>
          <w:szCs w:val="26"/>
        </w:rPr>
        <w:t>Брендированная</w:t>
      </w:r>
      <w:proofErr w:type="spellEnd"/>
      <w:r w:rsidR="00301A17">
        <w:rPr>
          <w:sz w:val="26"/>
          <w:szCs w:val="26"/>
        </w:rPr>
        <w:t xml:space="preserve"> продукция» к затратам на приобретение рассматриваемой продукции необоснованно отнесены расходы на сумму 7 794,00 рублей, которые не имеют отношение к брендовой продукции и должны быть отражены в строке «Услуги по организации мероприятий». </w:t>
      </w:r>
    </w:p>
    <w:p w:rsidR="00301A17" w:rsidRDefault="00873D9F" w:rsidP="00301A17">
      <w:pPr>
        <w:pStyle w:val="a7"/>
        <w:ind w:left="0" w:right="-284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</w:t>
      </w:r>
      <w:r w:rsidR="00301A17">
        <w:rPr>
          <w:rFonts w:eastAsia="Times New Roman"/>
          <w:sz w:val="26"/>
          <w:szCs w:val="26"/>
        </w:rPr>
        <w:t xml:space="preserve">. </w:t>
      </w:r>
      <w:r w:rsidR="00301A17">
        <w:rPr>
          <w:sz w:val="26"/>
          <w:szCs w:val="26"/>
        </w:rPr>
        <w:t>Денежные средства на затраты, связанные с участием волонтеров  в мероприятиях добровольческого характера в отдельных случаях перечислялись работникам НКО, которые производили оплату за оказанные услуги или же денежные средства НКО перечислялись на счета лиц оказавших волонтерам соответствующие  услуги, в то время</w:t>
      </w:r>
      <w:r>
        <w:rPr>
          <w:sz w:val="26"/>
          <w:szCs w:val="26"/>
        </w:rPr>
        <w:t>,</w:t>
      </w:r>
      <w:r w:rsidR="00301A17">
        <w:rPr>
          <w:sz w:val="26"/>
          <w:szCs w:val="26"/>
        </w:rPr>
        <w:t xml:space="preserve"> как р</w:t>
      </w:r>
      <w:r w:rsidR="00301A17">
        <w:rPr>
          <w:rFonts w:eastAsia="Times New Roman"/>
          <w:sz w:val="26"/>
          <w:szCs w:val="26"/>
        </w:rPr>
        <w:t xml:space="preserve">асходы на отправку волонтёров в другую местность на определённый срок для выполнения служебного поручения НКО компенсируются  согласно положения статьи 17.1 Федерального закона РФ №135 «О </w:t>
      </w:r>
      <w:hyperlink r:id="rId8" w:history="1">
        <w:r w:rsidR="00301A17">
          <w:rPr>
            <w:rStyle w:val="a3"/>
            <w:rFonts w:eastAsia="Times New Roman"/>
            <w:color w:val="auto"/>
            <w:sz w:val="26"/>
            <w:szCs w:val="26"/>
            <w:u w:val="none"/>
          </w:rPr>
          <w:t>благотворительной деятельности</w:t>
        </w:r>
      </w:hyperlink>
      <w:r w:rsidR="00301A17">
        <w:rPr>
          <w:rFonts w:eastAsia="Times New Roman"/>
          <w:sz w:val="26"/>
          <w:szCs w:val="26"/>
        </w:rPr>
        <w:t xml:space="preserve"> и добровольчестве» из которой следует, что волонтер имеет право получать в случаях и порядке, которые предусмотрены законодательством РФ или договором, заключенным с организатором добровольческой (волонтерской) деятельности, добровольческой (волонтерской) организацией, поддержку в форме оплаты проезда до места назначения и обратно (возмещения понесенных добровольцем (волонтером) расходов на приобретение этих услуг)</w:t>
      </w:r>
      <w:r w:rsidR="00301A17">
        <w:rPr>
          <w:sz w:val="26"/>
          <w:szCs w:val="26"/>
        </w:rPr>
        <w:t xml:space="preserve"> .</w:t>
      </w:r>
    </w:p>
    <w:p w:rsidR="00301A17" w:rsidRDefault="00873D9F" w:rsidP="00301A17">
      <w:pPr>
        <w:pStyle w:val="a7"/>
        <w:ind w:left="0" w:right="-284" w:firstLine="56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01A17">
        <w:rPr>
          <w:sz w:val="26"/>
          <w:szCs w:val="26"/>
        </w:rPr>
        <w:t xml:space="preserve">.  В Отчете о расходах, источником финансового обеспечения которых являются Субсидии, также в бухгалтерском учете Общества не отражены затраты по оплате проезда Соколовской О.В. до форума и обратно, произведенные платежным поручением №113 от 05.07.2024 на сумму 15 289,00 рублей, а представленные в рамках проверки копии оправдательных документов о перелете Соколовской О.В. по маршруту Когалым-Москва и обратно не соответствуют требованиям установленным </w:t>
      </w:r>
      <w:r w:rsidR="00301A17">
        <w:rPr>
          <w:rFonts w:eastAsiaTheme="minorHAnsi"/>
          <w:bCs/>
          <w:sz w:val="26"/>
          <w:szCs w:val="26"/>
        </w:rPr>
        <w:t xml:space="preserve">статьей 9 Федерального закона РФ от 06.12.2011 №402 «О бухгалтерском учете» и письма </w:t>
      </w:r>
      <w:r w:rsidR="00301A17">
        <w:rPr>
          <w:sz w:val="26"/>
          <w:szCs w:val="26"/>
        </w:rPr>
        <w:t>Департамента налоговой и таможенной политики Минфина России от 30.04.2019 №03-03-06/32039., в следствии чего необоснованно приняты и оплачены. Кроме этого, в нарушение Порядка направления в командировки и предоставления отчетных документов, утвержденного Постановлением Правительства РФ от 13.10.2008 №749 объектом проверки не представлены документы, подтверждающие связь указанных перелетов с уставной деятельностью АНО ЦРД «Навигатор добра». При указанных обстоятельствах, копии отчетных документов Соколовской О.В. не могут быть приняты к бухгалтерскому учету АНО ЦРД «Навигатор добра», а денежные средства в сумме 15 289,00 рублей перечисленные Соколовской О.В. подлежат возврату на лицевой счет Общества.</w:t>
      </w:r>
    </w:p>
    <w:p w:rsidR="00301A17" w:rsidRDefault="00873D9F" w:rsidP="00301A17">
      <w:pPr>
        <w:pStyle w:val="ConsPlusTitle"/>
        <w:ind w:right="-284" w:firstLine="566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="00301A17">
        <w:rPr>
          <w:rFonts w:ascii="Times New Roman" w:hAnsi="Times New Roman" w:cs="Times New Roman"/>
          <w:b w:val="0"/>
          <w:sz w:val="26"/>
          <w:szCs w:val="26"/>
        </w:rPr>
        <w:t>.  В нарушение части 1 статьи 27 Федерального закона от 12.01.1996 №7-ФЗ договор №1/1 на оказание услуг от 22.05.2024 заключенный АНО ЦРД «</w:t>
      </w:r>
      <w:proofErr w:type="spellStart"/>
      <w:r w:rsidR="00301A17">
        <w:rPr>
          <w:rFonts w:ascii="Times New Roman" w:hAnsi="Times New Roman" w:cs="Times New Roman"/>
          <w:b w:val="0"/>
          <w:sz w:val="26"/>
          <w:szCs w:val="26"/>
        </w:rPr>
        <w:t>Новигатор</w:t>
      </w:r>
      <w:proofErr w:type="spellEnd"/>
      <w:r w:rsidR="00301A17">
        <w:rPr>
          <w:rFonts w:ascii="Times New Roman" w:hAnsi="Times New Roman" w:cs="Times New Roman"/>
          <w:b w:val="0"/>
          <w:sz w:val="26"/>
          <w:szCs w:val="26"/>
        </w:rPr>
        <w:t xml:space="preserve"> добра» на организацию форума «Когалым-Макеевка» в лице Учредителя </w:t>
      </w:r>
      <w:proofErr w:type="spellStart"/>
      <w:r w:rsidR="00301A17">
        <w:rPr>
          <w:rFonts w:ascii="Times New Roman" w:hAnsi="Times New Roman" w:cs="Times New Roman"/>
          <w:b w:val="0"/>
          <w:sz w:val="26"/>
          <w:szCs w:val="26"/>
        </w:rPr>
        <w:t>Васеневой</w:t>
      </w:r>
      <w:proofErr w:type="spellEnd"/>
      <w:r w:rsidR="00301A17">
        <w:rPr>
          <w:rFonts w:ascii="Times New Roman" w:hAnsi="Times New Roman" w:cs="Times New Roman"/>
          <w:b w:val="0"/>
          <w:sz w:val="26"/>
          <w:szCs w:val="26"/>
        </w:rPr>
        <w:t xml:space="preserve"> Е.П.,</w:t>
      </w:r>
      <w:r w:rsidR="00301A17">
        <w:rPr>
          <w:rFonts w:ascii="Times New Roman" w:hAnsi="Times New Roman"/>
          <w:b w:val="0"/>
          <w:sz w:val="26"/>
          <w:szCs w:val="26"/>
        </w:rPr>
        <w:t xml:space="preserve"> которая как учредитель и как ведущий менеджер Организации не наделена </w:t>
      </w:r>
      <w:r w:rsidR="00301A17">
        <w:rPr>
          <w:rFonts w:ascii="Times New Roman" w:hAnsi="Times New Roman"/>
          <w:b w:val="0"/>
          <w:sz w:val="26"/>
          <w:szCs w:val="26"/>
        </w:rPr>
        <w:lastRenderedPageBreak/>
        <w:t>полномочиями на заключение каких-либо договоров от лица Общества директора</w:t>
      </w:r>
      <w:r w:rsidR="00301A17">
        <w:rPr>
          <w:rFonts w:ascii="Times New Roman" w:hAnsi="Times New Roman" w:cs="Times New Roman"/>
          <w:b w:val="0"/>
          <w:sz w:val="26"/>
          <w:szCs w:val="26"/>
        </w:rPr>
        <w:t xml:space="preserve"> и директором Общества </w:t>
      </w:r>
      <w:proofErr w:type="spellStart"/>
      <w:r w:rsidR="00301A17">
        <w:rPr>
          <w:rFonts w:ascii="Times New Roman" w:hAnsi="Times New Roman" w:cs="Times New Roman"/>
          <w:b w:val="0"/>
          <w:sz w:val="26"/>
          <w:szCs w:val="26"/>
        </w:rPr>
        <w:t>Имакаевой</w:t>
      </w:r>
      <w:proofErr w:type="spellEnd"/>
      <w:r w:rsidR="00301A17">
        <w:rPr>
          <w:rFonts w:ascii="Times New Roman" w:hAnsi="Times New Roman" w:cs="Times New Roman"/>
          <w:b w:val="0"/>
          <w:sz w:val="26"/>
          <w:szCs w:val="26"/>
        </w:rPr>
        <w:t xml:space="preserve"> Е.В.</w:t>
      </w:r>
      <w:r>
        <w:rPr>
          <w:rFonts w:ascii="Times New Roman" w:hAnsi="Times New Roman" w:cs="Times New Roman"/>
          <w:b w:val="0"/>
          <w:sz w:val="26"/>
          <w:szCs w:val="26"/>
        </w:rPr>
        <w:t>,</w:t>
      </w:r>
      <w:r w:rsidR="00301A17">
        <w:rPr>
          <w:rFonts w:ascii="Times New Roman" w:hAnsi="Times New Roman" w:cs="Times New Roman"/>
          <w:b w:val="0"/>
          <w:sz w:val="26"/>
          <w:szCs w:val="26"/>
        </w:rPr>
        <w:t xml:space="preserve"> заключен без учета требований действующего Федерального законодательства РФ, Устава Общества, а также локальных нормативных документов Общества и содержит признаки конфликта интересов.</w:t>
      </w:r>
    </w:p>
    <w:p w:rsidR="00301A17" w:rsidRPr="00AE1FFF" w:rsidRDefault="00AE1FFF" w:rsidP="00AE1FFF">
      <w:pPr>
        <w:pStyle w:val="ConsPlusTitle"/>
        <w:ind w:right="-284" w:firstLine="566"/>
        <w:jc w:val="both"/>
        <w:outlineLvl w:val="1"/>
        <w:rPr>
          <w:rFonts w:ascii="Times New Roman" w:hAnsi="Times New Roman"/>
          <w:b w:val="0"/>
          <w:sz w:val="26"/>
          <w:szCs w:val="26"/>
        </w:rPr>
      </w:pPr>
      <w:r w:rsidRPr="00AE1FFF">
        <w:rPr>
          <w:rFonts w:ascii="Times New Roman" w:hAnsi="Times New Roman" w:cs="Times New Roman"/>
          <w:b w:val="0"/>
          <w:sz w:val="26"/>
          <w:szCs w:val="26"/>
        </w:rPr>
        <w:t xml:space="preserve">По результатам экспертно-аналитического мероприятия  </w:t>
      </w:r>
      <w:r w:rsidRPr="00AE1FFF"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301A17" w:rsidRPr="00AE1FFF">
        <w:rPr>
          <w:rFonts w:ascii="Times New Roman" w:hAnsi="Times New Roman"/>
          <w:b w:val="0"/>
          <w:sz w:val="26"/>
          <w:szCs w:val="26"/>
        </w:rPr>
        <w:t>управлению внутренней политики Администрации города Когалыма</w:t>
      </w:r>
      <w:r w:rsidRPr="00AE1FFF">
        <w:rPr>
          <w:rFonts w:ascii="Times New Roman" w:eastAsiaTheme="minorHAnsi" w:hAnsi="Times New Roman"/>
          <w:b w:val="0"/>
          <w:bCs/>
          <w:sz w:val="26"/>
          <w:szCs w:val="26"/>
        </w:rPr>
        <w:t xml:space="preserve"> даны предложения (рекомендации) по </w:t>
      </w:r>
      <w:r w:rsidR="00301A17" w:rsidRPr="00AE1FFF">
        <w:rPr>
          <w:rFonts w:ascii="Times New Roman" w:eastAsiaTheme="minorHAnsi" w:hAnsi="Times New Roman"/>
          <w:b w:val="0"/>
          <w:bCs/>
          <w:sz w:val="26"/>
          <w:szCs w:val="26"/>
        </w:rPr>
        <w:t>устранению нарушений порядка и условий предоста</w:t>
      </w:r>
      <w:r w:rsidRPr="00AE1FFF">
        <w:rPr>
          <w:rFonts w:ascii="Times New Roman" w:eastAsiaTheme="minorHAnsi" w:hAnsi="Times New Roman"/>
          <w:b w:val="0"/>
          <w:bCs/>
          <w:sz w:val="26"/>
          <w:szCs w:val="26"/>
        </w:rPr>
        <w:t xml:space="preserve">вления субсидии, </w:t>
      </w:r>
      <w:proofErr w:type="gramStart"/>
      <w:r w:rsidRPr="00AE1FFF">
        <w:rPr>
          <w:rFonts w:ascii="Times New Roman" w:eastAsiaTheme="minorHAnsi" w:hAnsi="Times New Roman"/>
          <w:b w:val="0"/>
          <w:bCs/>
          <w:sz w:val="26"/>
          <w:szCs w:val="26"/>
        </w:rPr>
        <w:t>отраженных  в</w:t>
      </w:r>
      <w:proofErr w:type="gramEnd"/>
      <w:r w:rsidRPr="00AE1FFF">
        <w:rPr>
          <w:rFonts w:ascii="Times New Roman" w:eastAsiaTheme="minorHAnsi" w:hAnsi="Times New Roman"/>
          <w:b w:val="0"/>
          <w:bCs/>
          <w:sz w:val="26"/>
          <w:szCs w:val="26"/>
        </w:rPr>
        <w:t xml:space="preserve"> заключении, в том числе</w:t>
      </w:r>
      <w:r w:rsidR="00301A17" w:rsidRPr="00AE1FFF">
        <w:rPr>
          <w:rFonts w:ascii="Times New Roman" w:hAnsi="Times New Roman"/>
          <w:b w:val="0"/>
          <w:sz w:val="26"/>
          <w:szCs w:val="26"/>
        </w:rPr>
        <w:t xml:space="preserve"> учетом условий, установленных пунктом 6.3. Порядка </w:t>
      </w:r>
      <w:r w:rsidR="00761FA7">
        <w:rPr>
          <w:rFonts w:ascii="Times New Roman" w:hAnsi="Times New Roman"/>
          <w:b w:val="0"/>
          <w:sz w:val="26"/>
          <w:szCs w:val="26"/>
        </w:rPr>
        <w:t>№</w:t>
      </w:r>
      <w:r w:rsidR="00301A17" w:rsidRPr="00AE1FFF">
        <w:rPr>
          <w:rFonts w:ascii="Times New Roman" w:hAnsi="Times New Roman"/>
          <w:b w:val="0"/>
          <w:sz w:val="26"/>
          <w:szCs w:val="26"/>
        </w:rPr>
        <w:t>2315 рассмотреть вопрос о п</w:t>
      </w:r>
      <w:r w:rsidR="00761FA7">
        <w:rPr>
          <w:rFonts w:ascii="Times New Roman" w:hAnsi="Times New Roman"/>
          <w:b w:val="0"/>
          <w:sz w:val="26"/>
          <w:szCs w:val="26"/>
        </w:rPr>
        <w:t xml:space="preserve">ривлечении Получателя субсидии </w:t>
      </w:r>
      <w:r w:rsidR="00301A17" w:rsidRPr="00AE1FFF">
        <w:rPr>
          <w:rFonts w:ascii="Times New Roman" w:hAnsi="Times New Roman"/>
          <w:b w:val="0"/>
          <w:sz w:val="26"/>
          <w:szCs w:val="26"/>
        </w:rPr>
        <w:t>к соответствующей ответственности.</w:t>
      </w:r>
    </w:p>
    <w:p w:rsidR="00301A17" w:rsidRPr="00AE1FFF" w:rsidRDefault="00AE1FFF" w:rsidP="00301A1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E1FFF">
        <w:rPr>
          <w:rFonts w:ascii="Times New Roman" w:hAnsi="Times New Roman" w:cs="Times New Roman"/>
          <w:sz w:val="26"/>
          <w:szCs w:val="26"/>
        </w:rPr>
        <w:tab/>
        <w:t>Заключение Контрольно-счетной палаты от 25.12.2025 №28-ЗКП-КСП-93 направлено в Думу города Когалыма и главе города Когалыма.</w:t>
      </w:r>
    </w:p>
    <w:p w:rsidR="00301A17" w:rsidRPr="00AE1FFF" w:rsidRDefault="00AE1FFF" w:rsidP="00301A17">
      <w:pPr>
        <w:ind w:right="-143"/>
      </w:pPr>
      <w:r w:rsidRPr="00AE1FFF">
        <w:t xml:space="preserve"> </w:t>
      </w:r>
    </w:p>
    <w:p w:rsidR="00A03F2F" w:rsidRPr="00AE1FFF" w:rsidRDefault="00A03F2F"/>
    <w:sectPr w:rsidR="00A03F2F" w:rsidRPr="00AE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2668A"/>
    <w:multiLevelType w:val="hybridMultilevel"/>
    <w:tmpl w:val="BCD489EA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" w15:restartNumberingAfterBreak="0">
    <w:nsid w:val="58E92A2B"/>
    <w:multiLevelType w:val="hybridMultilevel"/>
    <w:tmpl w:val="36A8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67"/>
    <w:rsid w:val="00301A17"/>
    <w:rsid w:val="00492E93"/>
    <w:rsid w:val="00701D67"/>
    <w:rsid w:val="00761FA7"/>
    <w:rsid w:val="00873D9F"/>
    <w:rsid w:val="00995647"/>
    <w:rsid w:val="00A03F2F"/>
    <w:rsid w:val="00A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CCD3"/>
  <w15:chartTrackingRefBased/>
  <w15:docId w15:val="{0AB90A4A-5523-4A05-B8E2-D2CCF302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1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A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A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5">
    <w:name w:val="No Spacing"/>
    <w:uiPriority w:val="1"/>
    <w:qFormat/>
    <w:rsid w:val="00301A1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Абзац списка Знак"/>
    <w:aliases w:val="it_List1 Знак,Абзац списка литеральный Знак,асз.Списка Знак"/>
    <w:link w:val="a7"/>
    <w:uiPriority w:val="34"/>
    <w:locked/>
    <w:rsid w:val="00301A1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6"/>
    <w:uiPriority w:val="34"/>
    <w:qFormat/>
    <w:rsid w:val="00301A17"/>
    <w:pPr>
      <w:widowControl/>
      <w:suppressAutoHyphens w:val="0"/>
      <w:ind w:left="720"/>
      <w:contextualSpacing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ConsPlusNormal">
    <w:name w:val="ConsPlusNormal Знак"/>
    <w:link w:val="ConsPlusNormal0"/>
    <w:locked/>
    <w:rsid w:val="00301A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01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01A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301A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-nko.ru/buh/nalogovyj-vychet-za-blagotvoritel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8090&amp;dst=100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rocenkoVP\Desktop\&#1055;&#1088;&#1086;&#1074;&#1077;&#1088;&#1082;&#1072;%20&#1089;&#1091;&#1073;&#1089;&#1080;&#1076;&#1080;&#1080;%202025&#1075;&#1086;&#1076;\&#1047;&#1072;&#1082;&#1083;&#1102;&#1095;&#1077;&#1085;&#1080;&#1077;%20&#1087;&#1086;%20&#1088;&#1077;&#1079;&#1091;&#1083;&#1100;&#1090;&#1072;&#1090;&#1072;&#1084;%20&#1069;&#1052;%20&#1086;&#1090;%2025.12.2025.docx" TargetMode="External"/><Relationship Id="rId5" Type="http://schemas.openxmlformats.org/officeDocument/2006/relationships/hyperlink" Target="file:///C:\Users\ProcenkoVP\Desktop\&#1055;&#1088;&#1086;&#1074;&#1077;&#1088;&#1082;&#1072;%20&#1089;&#1091;&#1073;&#1089;&#1080;&#1076;&#1080;&#1080;%202025&#1075;&#1086;&#1076;\&#1047;&#1072;&#1082;&#1083;&#1102;&#1095;&#1077;&#1085;&#1080;&#1077;%20&#1087;&#1086;%20&#1088;&#1077;&#1079;&#1091;&#1083;&#1100;&#1090;&#1072;&#1090;&#1072;&#1084;%20&#1069;&#1052;%20&#1086;&#1090;%2025.12.2025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Виктор Петрович</dc:creator>
  <cp:keywords/>
  <dc:description/>
  <cp:lastModifiedBy>Проценко Виктор Петрович</cp:lastModifiedBy>
  <cp:revision>4</cp:revision>
  <dcterms:created xsi:type="dcterms:W3CDTF">2026-01-15T05:32:00Z</dcterms:created>
  <dcterms:modified xsi:type="dcterms:W3CDTF">2026-01-15T06:24:00Z</dcterms:modified>
</cp:coreProperties>
</file>