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5"/>
        <w:ind w:firstLine="0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5"/>
        <w:ind w:firstLine="0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бесплатной юридической помощи </w:t>
      </w:r>
      <w:r>
        <w:rPr>
          <w:rFonts w:ascii="Times New Roman" w:hAnsi="Times New Roman" w:cs="Times New Roman"/>
          <w:sz w:val="28"/>
          <w:szCs w:val="28"/>
        </w:rPr>
        <w:t xml:space="preserve">гражданам </w:t>
      </w:r>
      <w:r/>
    </w:p>
    <w:p>
      <w:pPr>
        <w:pStyle w:val="845"/>
        <w:ind w:firstLine="0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в рамках государственной системы бесплатной юридической помощи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33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Вопросы предоставления бесплатной юридической помощи </w:t>
      </w:r>
      <w:r>
        <w:rPr>
          <w:sz w:val="28"/>
          <w:szCs w:val="28"/>
        </w:rPr>
        <w:t xml:space="preserve">в Ханты-Мансийском автономном округе – Югре </w:t>
      </w:r>
      <w:r>
        <w:rPr>
          <w:sz w:val="28"/>
          <w:szCs w:val="28"/>
        </w:rPr>
        <w:t xml:space="preserve">регулируются Федеральным законом от 21 ноября 2011 года № 324-ФЗ «О бесплатной юридической помощи в Российской Федерации» и Законом Ханты-Мансийского автономного округа – Югры от 16 декабря 2011 года № 113-оз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«О бесплатной юридической помощи в Ханты-Мансийском автономном округе – Югре».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pStyle w:val="833"/>
        <w:ind w:firstLine="720"/>
        <w:jc w:val="both"/>
        <w:widowControl w:val="off"/>
        <w:rPr>
          <w:bCs/>
          <w:sz w:val="28"/>
          <w:szCs w:val="28"/>
        </w:rPr>
      </w:pP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есплатную юридическую помощь</w:t>
      </w:r>
      <w:r>
        <w:rPr>
          <w:sz w:val="28"/>
          <w:szCs w:val="28"/>
        </w:rPr>
        <w:t xml:space="preserve"> на территории региона оказывают а</w:t>
      </w:r>
      <w:r>
        <w:rPr>
          <w:sz w:val="28"/>
          <w:szCs w:val="28"/>
        </w:rPr>
        <w:t xml:space="preserve">двокаты, участвующие в деятельности государственной системы бесплатной юридической помощи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(списки адвокатов участников государственной системы бесплатной юридической помощи размещены на официальном сайте Департамента региональной безопасности Ханты-Мансийского автономного округа – </w:t>
      </w:r>
      <w:r>
        <w:rPr>
          <w:bCs/>
          <w:sz w:val="28"/>
          <w:szCs w:val="28"/>
        </w:rPr>
        <w:t xml:space="preserve">Югры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https://deprb.admhmao.ru</w:t>
      </w:r>
      <w:r>
        <w:rPr>
          <w:bCs/>
          <w:sz w:val="28"/>
          <w:szCs w:val="28"/>
        </w:rPr>
        <w:t xml:space="preserve"> в разделе «Бесплатная юридическая помощь»)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</w:r>
      <w:r/>
    </w:p>
    <w:p>
      <w:pPr>
        <w:pStyle w:val="83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4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. 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Право на получение бесплатной юридической помощи имеют граждане Российской Федерации, категории которых установлены частью 1 статьи 20 Федерального закона № 324-ФЗ:</w:t>
      </w:r>
      <w:r/>
    </w:p>
    <w:p>
      <w:pPr>
        <w:pStyle w:val="8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гр</w:t>
      </w:r>
      <w:r>
        <w:rPr>
          <w:sz w:val="28"/>
          <w:szCs w:val="28"/>
        </w:rPr>
        <w:t xml:space="preserve">аждане, среднедушевой доход семей которых ниже величины прожиточного минимума, установленного в Ханты-Мансийском автономном округе – Югры, либо одиноко проживающие граждане, доходы которых ниже величины прожиточного минимума (далее – малоимущие граждане); </w:t>
      </w:r>
      <w:r/>
    </w:p>
    <w:p>
      <w:pPr>
        <w:pStyle w:val="8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инвалиды I, II группы; </w:t>
      </w:r>
      <w:r/>
    </w:p>
    <w:p>
      <w:pPr>
        <w:pStyle w:val="674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3) 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в </w:t>
      </w:r>
      <w:hyperlink r:id="rId9" w:tooltip="https://login.consultant.ru/link/?req=doc&amp;base=LAW&amp;n=449650&amp;dst=100339&amp;field=134&amp;date=26.09.2023" w:history="1">
        <w:r>
          <w:rPr>
            <w:rStyle w:val="838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пункте 6 статьи 1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Федерального закона от 31 мая 1996 года № 61-ФЗ «Об обороне»,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специальной военной операции на указанных территориях, а также члены семей указанных граждан;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3.3)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дети-инвалиды, дети-сироты, дети, оставшиеся без попечения родителей, лица из числа д</w:t>
      </w:r>
      <w:r>
        <w:rPr>
          <w:sz w:val="28"/>
          <w:szCs w:val="28"/>
        </w:rPr>
        <w:t xml:space="preserve">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  <w:r/>
    </w:p>
    <w:p>
      <w:pPr>
        <w:pStyle w:val="8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 </w:t>
      </w:r>
      <w:r/>
    </w:p>
    <w:p>
      <w:pPr>
        <w:pStyle w:val="8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 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 </w:t>
      </w:r>
      <w:r/>
    </w:p>
    <w:p>
      <w:pPr>
        <w:pStyle w:val="8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 граждане пожилого возраста и инвалиды, проживающие в организациях социального обслуживания, предоставляющих социальные услуги в стационарной форме; </w:t>
      </w:r>
      <w:r/>
    </w:p>
    <w:p>
      <w:pPr>
        <w:pStyle w:val="8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 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</w:t>
      </w:r>
      <w:r>
        <w:rPr>
          <w:sz w:val="28"/>
          <w:szCs w:val="28"/>
        </w:rPr>
        <w:t xml:space="preserve">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 </w:t>
      </w:r>
      <w:r/>
    </w:p>
    <w:p>
      <w:pPr>
        <w:pStyle w:val="8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граждане, имеющие право на бесплатную юридическую помощь в соответствии с законом Российской Федерации от 2 июля 1992 года </w:t>
        <w:br w:type="textWrapping" w:clear="all"/>
        <w:t xml:space="preserve">№ 3185-1 «О психиатрической помощи и гарантиях прав граждан при ее оказании»; </w:t>
      </w:r>
      <w:r/>
    </w:p>
    <w:p>
      <w:pPr>
        <w:pStyle w:val="8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 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 </w:t>
      </w:r>
      <w:r/>
    </w:p>
    <w:p>
      <w:pPr>
        <w:pStyle w:val="8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 граждане, пострадавшие в результате чрезвычайной ситуации: </w:t>
      </w:r>
      <w:r/>
    </w:p>
    <w:p>
      <w:pPr>
        <w:pStyle w:val="8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</w:t>
      </w:r>
      <w:r>
        <w:rPr>
          <w:sz w:val="28"/>
          <w:szCs w:val="28"/>
        </w:rPr>
        <w:t xml:space="preserve">супруг (супруга), состоявший (состоявшая) в зарегистрированном браке с погибшим (умершим) на день гибели (смерти) в результате чрезвычайной ситуации; </w:t>
      </w:r>
      <w:r/>
    </w:p>
    <w:p>
      <w:pPr>
        <w:pStyle w:val="8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</w:t>
      </w:r>
      <w:r>
        <w:rPr>
          <w:sz w:val="28"/>
          <w:szCs w:val="28"/>
        </w:rPr>
        <w:t xml:space="preserve">дети погибшего (умершего) в результате чрезвычайной ситуации; </w:t>
      </w:r>
      <w:r/>
    </w:p>
    <w:p>
      <w:pPr>
        <w:pStyle w:val="8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 </w:t>
      </w:r>
      <w:r>
        <w:rPr>
          <w:sz w:val="28"/>
          <w:szCs w:val="28"/>
        </w:rPr>
        <w:t xml:space="preserve">родители погибшего (умершего) в результате чрезвычайной ситуации; </w:t>
      </w:r>
      <w:r/>
    </w:p>
    <w:p>
      <w:pPr>
        <w:pStyle w:val="8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 </w:t>
      </w:r>
      <w:r>
        <w:rPr>
          <w:sz w:val="28"/>
          <w:szCs w:val="28"/>
        </w:rPr>
        <w:t xml:space="preserve">лица, находившиеся на полном содержании погибшего (умерше</w:t>
      </w:r>
      <w:r>
        <w:rPr>
          <w:sz w:val="28"/>
          <w:szCs w:val="28"/>
        </w:rPr>
        <w:t xml:space="preserve">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 </w:t>
      </w:r>
      <w:r/>
    </w:p>
    <w:p>
      <w:pPr>
        <w:pStyle w:val="8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 </w:t>
      </w:r>
      <w:r>
        <w:rPr>
          <w:sz w:val="28"/>
          <w:szCs w:val="28"/>
        </w:rPr>
        <w:t xml:space="preserve">граждане, здоровью которых причинен вред в результате чрезвычайной ситуации; </w:t>
      </w:r>
      <w:r/>
    </w:p>
    <w:p>
      <w:pPr>
        <w:pStyle w:val="833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е) </w:t>
      </w:r>
      <w:r>
        <w:rPr>
          <w:sz w:val="28"/>
          <w:szCs w:val="28"/>
        </w:rPr>
        <w:t xml:space="preserve">граждане, лишившиеся жилого помещения либо утратившие полностью или частично иное имущество, либо документы в результате чрезвычайной ситуации. 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833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Граждане к</w:t>
      </w:r>
      <w:r>
        <w:rPr>
          <w:b/>
          <w:sz w:val="28"/>
          <w:szCs w:val="28"/>
        </w:rPr>
        <w:t xml:space="preserve">атегории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которых установлены статьей 4, и статьями 5.1 - 5.4 Закона № 113-оз:</w:t>
      </w:r>
      <w:r/>
    </w:p>
    <w:p>
      <w:pPr>
        <w:pStyle w:val="8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неработающие инвалиды </w:t>
      </w:r>
      <w:r>
        <w:rPr>
          <w:sz w:val="28"/>
          <w:szCs w:val="28"/>
          <w:lang w:val="en-US"/>
        </w:rPr>
        <w:t xml:space="preserve">III</w:t>
      </w:r>
      <w:r>
        <w:rPr>
          <w:sz w:val="28"/>
          <w:szCs w:val="28"/>
        </w:rPr>
        <w:t xml:space="preserve"> группы; </w:t>
      </w:r>
      <w:r/>
    </w:p>
    <w:p>
      <w:pPr>
        <w:pStyle w:val="842"/>
        <w:ind w:firstLine="709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 граждане пожилого возраста старше 65 лет;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ind w:firstLine="709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3) 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вдовы военнослужащих, погибших в период войны с Финляндией, Великой Отечественной войны, войны с Японией, вдовы умерших инвалидов Великой Отечественной войны; </w:t>
      </w:r>
      <w:r/>
    </w:p>
    <w:p>
      <w:pPr>
        <w:pStyle w:val="84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ветераны боевых действий; </w:t>
      </w:r>
      <w:r/>
    </w:p>
    <w:p>
      <w:pPr>
        <w:pStyle w:val="84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 члены семей погибших (умерших) ветеранов боевых действий; </w:t>
      </w:r>
      <w:r/>
    </w:p>
    <w:p>
      <w:pPr>
        <w:pStyle w:val="8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 </w:t>
      </w:r>
      <w:r>
        <w:rPr>
          <w:sz w:val="28"/>
          <w:szCs w:val="28"/>
        </w:rPr>
        <w:t xml:space="preserve">многодетные родители и воспитывающие детей в возрасте до 18 лет родители в неполных семьях; </w:t>
      </w:r>
      <w:r/>
    </w:p>
    <w:p>
      <w:pPr>
        <w:pStyle w:val="842"/>
        <w:ind w:firstLine="709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8) граждане, проживающие в труднодоступных и малонаселенных местностях автономного округа, в соответствии с перечнем населенных пунктов, утвержденных Постановлением № 514-п;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 представители коренных малочисленных народов Севера (далее также – малочисленные народы), являющиеся субъектами права традиционного природопользования, ведущие традиционный образ жизни; </w:t>
      </w:r>
      <w:r/>
    </w:p>
    <w:p>
      <w:pPr>
        <w:pStyle w:val="842"/>
        <w:ind w:firstLine="709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10) представители малоч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исленных народов, проживающие в сельской местности (в местах традиционного проживания и традиционной хозяйственной деятельности малочисленных народов), для которых виды традиционной хозяйственной деятельности являются неосновным способом жизнеобеспечения;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ind w:firstLine="709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11) представители общественных организаций малочисленных народов, не имеющих статуса юридического лица;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 граждане, чьи денежные средства привлечены для строительства многоквартирных домов и (или) иных объект</w:t>
      </w:r>
      <w:r>
        <w:rPr>
          <w:sz w:val="28"/>
          <w:szCs w:val="28"/>
        </w:rPr>
        <w:t xml:space="preserve">ов недвижимости, включенных в единый реестр проблемных объектов, расположенных в автономном округе, имеют право на получение всех видов бесплатной юридической помощи, предусмотренных статьей 6 Федерального закона «О бесплатной юридической помощи в Российск</w:t>
      </w:r>
      <w:r>
        <w:rPr>
          <w:sz w:val="28"/>
          <w:szCs w:val="28"/>
        </w:rPr>
        <w:t xml:space="preserve">ой Федерации», если они обратились за оказанием бесплатной юридической помощи по вопросам защиты своих прав и законных интересов, нарушенных в результате действий (бездействия) застройщиков, и приобретаемое (строящееся) жилье является для них единственным;</w:t>
      </w:r>
      <w:r/>
    </w:p>
    <w:p>
      <w:pPr>
        <w:pStyle w:val="8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 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нвалиды I группы,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 и граждане, указанные в подпунктах 2 - 4 пункта 1 статьи 4 настоящего Закона</w:t>
      </w:r>
      <w:r>
        <w:rPr>
          <w:sz w:val="28"/>
          <w:szCs w:val="28"/>
        </w:rPr>
        <w:t xml:space="preserve">, имеют право на получение бесплатной юридической помощи по вопросам защиты прав потребителей в виде составления исковых заявлений в суд первой инстанции, апелляционных, кассационных, надзорных жалоб и возражений на них, а также представления интересов гра</w:t>
      </w:r>
      <w:r>
        <w:rPr>
          <w:sz w:val="28"/>
          <w:szCs w:val="28"/>
        </w:rPr>
        <w:t xml:space="preserve">жданина в судебном производстве;</w:t>
      </w:r>
      <w:r>
        <w:rPr>
          <w:sz w:val="28"/>
          <w:szCs w:val="28"/>
        </w:rPr>
      </w:r>
      <w:r/>
    </w:p>
    <w:p>
      <w:pPr>
        <w:pStyle w:val="833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14) признанные безработными граждане предпенсионного возраста (в течение пяти лет до назначе</w:t>
      </w:r>
      <w:r>
        <w:rPr>
          <w:sz w:val="28"/>
          <w:szCs w:val="28"/>
        </w:rPr>
        <w:t xml:space="preserve">ния пенсии по старости в соответствии с пенсионным законодательством Российской Федерации), если они обращаются по вопросам, связанным с обеспечением дополнительных прав и гарантий, установленных федеральным законодательством для данной категории граждан; </w:t>
      </w:r>
      <w:r/>
    </w:p>
    <w:p>
      <w:pPr>
        <w:ind w:left="0" w:right="0" w:firstLine="709"/>
        <w:jc w:val="both"/>
        <w:spacing w:before="0" w:after="0"/>
        <w:rPr>
          <w:b w:val="0"/>
          <w:bCs w:val="0"/>
          <w:color w:val="000000" w:themeColor="text1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5) граждане, ходатайствующие о признании вынужденными переселенцами, вынужденные переселенцы, покинувшие территорию Донецкой Народной Республики и Луганской Народной Республики, находящиеся на территории автономного округа;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по вопросам, связанным с защитой их прав и законных интересов, предусмотренных </w:t>
      </w:r>
      <w:hyperlink r:id="rId10" w:tooltip="https://login.consultant.ru/link/?req=doc&amp;base=LAW&amp;n=370194&amp;date=26.09.2023" w:history="1">
        <w:r>
          <w:rPr>
            <w:rStyle w:val="838"/>
            <w:rFonts w:ascii="Times New Roman" w:hAnsi="Times New Roman" w:eastAsia="Times New Roman" w:cs="Times New Roman"/>
            <w:b w:val="0"/>
            <w:bCs w:val="0"/>
            <w:color w:val="000000" w:themeColor="text1"/>
            <w:sz w:val="28"/>
            <w:szCs w:val="28"/>
            <w:u w:val="non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 Российской Федерации «О вынужденных переселенцах». </w:t>
      </w:r>
      <w:r>
        <w:rPr>
          <w:b w:val="0"/>
          <w:bCs w:val="0"/>
          <w:color w:val="000000" w:themeColor="text1"/>
          <w:sz w:val="28"/>
          <w:szCs w:val="28"/>
          <w:u w:val="none"/>
        </w:rPr>
      </w:r>
    </w:p>
    <w:p>
      <w:pPr>
        <w:pStyle w:val="674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16) члены семей военнослужащих, сотрудников органов внутренних дел, войск национальной гвардии, Федеральной службы безопасности, прокуратуры Российской Федерации, Следственного комитета Российской Федерации, Федеральной службы судебных приставов, Федеральн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ой службы исполнения наказаний, Министерства Российской Федерации по делам гражданской обороны, чрезвычайным ситуациям и ликвидации последствий стихийных бедствий, погибших при исполнении обязанностей военной службы (служебных обязанностей);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r>
    </w:p>
    <w:p>
      <w:pPr>
        <w:pStyle w:val="674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17) участники специальной военной операции, проводимой на территориях Украины, Донецкой Народной Республики, Луганской Народной Республики, Запорожской, Херсонской областей, граждане Российской Федерации, призванные по мобилизации на военную службу в Воору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женные Силы Российской Федерации (далее - военнослужащие) и члены их семей (супруга (супруг); дети старше 18 лет, ставшие инвалидами до достижения ими возраста 18 лет; дети в возрасте до 23 лет, обучающиеся в образовательных организациях по очной форме обу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чения; лица, находящиеся на иждивении военнослужащих; родители военнослужащего);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r>
    </w:p>
    <w:p>
      <w:pPr>
        <w:ind w:left="0" w:right="0" w:firstLine="709"/>
        <w:jc w:val="both"/>
        <w:spacing w:before="0" w:after="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</w:rPr>
        <w:t xml:space="preserve">18) 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</w:rPr>
        <w:t xml:space="preserve">представители коренных малочисленных народов Севера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возбуждении в отношении них дел об административных правонарушениях, непосредственно связанных с ведением указанными гражданами традиционного образа жизни, осуществлением традиционной хозяйственной деятельности и занятием традиционными промыслами;</w:t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19) гражданам по вопросу определения национальной принадлежности к коренным малочисленным народам Севера (ханты, манси, ненцы)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в виде составления заявления в суд первой инстанции об установлении факта, имеющего юридическое зн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ачение, а также последующих апелляционных, кассационных, надзорных жалоб и возражений на них, представления интересов гражданина в судебном производстве.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</w:r>
    </w:p>
    <w:p>
      <w:pPr>
        <w:ind w:left="0" w:right="0" w:firstLine="709"/>
        <w:jc w:val="both"/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20) гражданам из числа лиц, освобожденных из мест лишения свободы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, по вопросам трудоустройства и предоставления мер социальной поддержки для лиц, освобожденных из мест лишения свободы (в течение трех месяцев со дня освобожде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ния).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</w:r>
    </w:p>
    <w:p>
      <w:pPr>
        <w:pStyle w:val="84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842"/>
        <w:ind w:firstLine="709"/>
        <w:jc w:val="both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Бесплатная юридическая помощь может быть предоставлена по</w:t>
      </w:r>
      <w:r>
        <w:rPr>
          <w:rFonts w:ascii="Times New Roman" w:hAnsi="Times New Roman" w:cs="Times New Roman"/>
          <w:sz w:val="28"/>
          <w:szCs w:val="28"/>
        </w:rPr>
        <w:t xml:space="preserve"> случа</w:t>
      </w:r>
      <w:r>
        <w:rPr>
          <w:rFonts w:ascii="Times New Roman" w:hAnsi="Times New Roman" w:cs="Times New Roman"/>
          <w:sz w:val="28"/>
          <w:szCs w:val="28"/>
        </w:rPr>
        <w:t xml:space="preserve">ям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установленным частью 2 статьи 20 Федерального закона № 324-ФЗ:</w:t>
      </w:r>
      <w:r>
        <w:rPr>
          <w:rFonts w:ascii="Times New Roman" w:hAnsi="Times New Roman" w:cs="Times New Roman"/>
          <w:b w:val="0"/>
          <w:sz w:val="28"/>
          <w:szCs w:val="28"/>
        </w:rPr>
      </w:r>
      <w:r/>
    </w:p>
    <w:p>
      <w:pPr>
        <w:pStyle w:val="8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заключение, изменение, р</w:t>
      </w:r>
      <w:r>
        <w:rPr>
          <w:sz w:val="28"/>
          <w:szCs w:val="28"/>
        </w:rPr>
        <w:t xml:space="preserve">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  <w:r/>
    </w:p>
    <w:p>
      <w:pPr>
        <w:pStyle w:val="8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признание права на жилое помещение, </w:t>
      </w:r>
      <w:r>
        <w:rPr>
          <w:sz w:val="28"/>
          <w:szCs w:val="28"/>
        </w:rPr>
        <w:t xml:space="preserve">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</w:t>
      </w:r>
      <w:r>
        <w:rPr>
          <w:sz w:val="28"/>
          <w:szCs w:val="28"/>
        </w:rPr>
        <w:t xml:space="preserve">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</w:t>
      </w:r>
      <w:r>
        <w:rPr>
          <w:sz w:val="28"/>
          <w:szCs w:val="28"/>
        </w:rPr>
        <w:t xml:space="preserve">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  <w:r/>
    </w:p>
    <w:p>
      <w:pPr>
        <w:pStyle w:val="8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признание и сохранение права собственности на земельный участок, права постоянног</w:t>
      </w:r>
      <w:r>
        <w:rPr>
          <w:sz w:val="28"/>
          <w:szCs w:val="28"/>
        </w:rPr>
        <w:t xml:space="preserve">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  <w:r/>
    </w:p>
    <w:p>
      <w:pPr>
        <w:pStyle w:val="8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защита прав потребителей (в части предоставления коммунальных услуг);</w:t>
      </w:r>
      <w:r/>
    </w:p>
    <w:p>
      <w:pPr>
        <w:pStyle w:val="8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отказ работодателя в заключении трудового договора, наруша</w:t>
      </w:r>
      <w:r>
        <w:rPr>
          <w:sz w:val="28"/>
          <w:szCs w:val="28"/>
        </w:rPr>
        <w:t xml:space="preserve">ющий гарантии, установленные Трудовым кодексом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  <w:r/>
    </w:p>
    <w:p>
      <w:pPr>
        <w:pStyle w:val="8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признание гражданина безработным и установление пособия по безработице;</w:t>
      </w:r>
      <w:r/>
    </w:p>
    <w:p>
      <w:pPr>
        <w:pStyle w:val="8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  <w:r/>
    </w:p>
    <w:p>
      <w:pPr>
        <w:pStyle w:val="8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  <w:r/>
    </w:p>
    <w:p>
      <w:pPr>
        <w:pStyle w:val="8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назначение, перерасчет и взыскание страховых пенсий по старости, пенсий по инвалидности и по случаю потери кормильца, пособ</w:t>
      </w:r>
      <w:r>
        <w:rPr>
          <w:sz w:val="28"/>
          <w:szCs w:val="28"/>
        </w:rPr>
        <w:t xml:space="preserve">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  <w:r/>
    </w:p>
    <w:p>
      <w:pPr>
        <w:pStyle w:val="8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установление и оспаривание отцовства (материнства), взыскание алиментов;</w:t>
      </w:r>
      <w:r/>
    </w:p>
    <w:p>
      <w:pPr>
        <w:pStyle w:val="8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10.1) </w:t>
      </w:r>
      <w:r>
        <w:rPr>
          <w:sz w:val="28"/>
          <w:szCs w:val="28"/>
        </w:rPr>
        <w:t xml:space="preserve">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  <w:r/>
    </w:p>
    <w:p>
      <w:pPr>
        <w:pStyle w:val="8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  <w:r/>
    </w:p>
    <w:p>
      <w:pPr>
        <w:pStyle w:val="8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 </w:t>
      </w:r>
      <w:r>
        <w:rPr>
          <w:sz w:val="28"/>
          <w:szCs w:val="28"/>
        </w:rPr>
        <w:t xml:space="preserve">реабилитация граждан, пострадавших от политических репрессий;</w:t>
      </w:r>
      <w:r/>
    </w:p>
    <w:p>
      <w:pPr>
        <w:pStyle w:val="8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 </w:t>
      </w:r>
      <w:r>
        <w:rPr>
          <w:sz w:val="28"/>
          <w:szCs w:val="28"/>
        </w:rPr>
        <w:t xml:space="preserve">ограничение дееспособности;</w:t>
      </w:r>
      <w:r/>
    </w:p>
    <w:p>
      <w:pPr>
        <w:pStyle w:val="8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 </w:t>
      </w:r>
      <w:r>
        <w:rPr>
          <w:sz w:val="28"/>
          <w:szCs w:val="28"/>
        </w:rPr>
        <w:t xml:space="preserve">обжалование нарушений прав и свобод граждан при оказании психиатрической помощи;</w:t>
      </w:r>
      <w:r/>
    </w:p>
    <w:p>
      <w:pPr>
        <w:pStyle w:val="8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 </w:t>
      </w:r>
      <w:r>
        <w:rPr>
          <w:sz w:val="28"/>
          <w:szCs w:val="28"/>
        </w:rPr>
        <w:t xml:space="preserve">медико-социальная экспертиза и реабилитация инвалидов;</w:t>
      </w:r>
      <w:r/>
    </w:p>
    <w:p>
      <w:pPr>
        <w:pStyle w:val="8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обжалование во внесудебном порядке актов органов государственной власти, органов местного самоуправления и должностных лиц;</w:t>
      </w:r>
      <w:r/>
    </w:p>
    <w:p>
      <w:pPr>
        <w:pStyle w:val="674"/>
        <w:ind w:firstLine="708"/>
        <w:jc w:val="both"/>
        <w:rPr>
          <w:color w:val="000000" w:themeColor="text1"/>
          <w:sz w:val="28"/>
          <w:szCs w:val="28"/>
          <w:highlight w:val="none"/>
          <w:u w:val="none"/>
        </w:rPr>
      </w:pPr>
      <w:r>
        <w:rPr>
          <w:color w:val="000000" w:themeColor="text1"/>
          <w:sz w:val="28"/>
          <w:szCs w:val="28"/>
          <w:u w:val="none"/>
        </w:rPr>
        <w:t xml:space="preserve">16)</w:t>
      </w:r>
      <w:r>
        <w:rPr>
          <w:color w:val="000000" w:themeColor="text1"/>
          <w:sz w:val="28"/>
          <w:szCs w:val="28"/>
          <w:u w:val="none"/>
        </w:rPr>
        <w:t xml:space="preserve"> </w:t>
      </w:r>
      <w:r>
        <w:rPr>
          <w:color w:val="000000" w:themeColor="text1"/>
          <w:sz w:val="28"/>
          <w:szCs w:val="28"/>
          <w:u w:val="none"/>
        </w:rPr>
        <w:t xml:space="preserve">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</w:r>
      <w:r>
        <w:rPr>
          <w:color w:val="000000" w:themeColor="text1"/>
          <w:sz w:val="28"/>
          <w:szCs w:val="28"/>
          <w:u w:val="none"/>
        </w:rPr>
      </w:r>
    </w:p>
    <w:p>
      <w:pPr>
        <w:pStyle w:val="674"/>
        <w:ind w:firstLine="708"/>
        <w:jc w:val="both"/>
        <w:rPr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17) обеспечение денежным довольствием военнослужащих и предоставление им отдельных выплат в соответствии с Федеральным </w:t>
      </w:r>
      <w:hyperlink r:id="rId11" w:tooltip="https://login.consultant.ru/link/?req=doc&amp;base=LAW&amp;n=452681&amp;date=26.09.2023" w:history="1">
        <w:r>
          <w:rPr>
            <w:rStyle w:val="838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от 7 ноября 2011 года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306-ФЗ «О денежном довольствии военнослужащих и предоставлении им отдельных выплат»; </w:t>
      </w:r>
      <w:r>
        <w:rPr>
          <w:color w:val="000000" w:themeColor="text1"/>
          <w:sz w:val="28"/>
          <w:szCs w:val="28"/>
          <w:u w:val="none"/>
        </w:rPr>
      </w:r>
    </w:p>
    <w:p>
      <w:pPr>
        <w:pStyle w:val="674"/>
        <w:ind w:firstLine="708"/>
        <w:jc w:val="both"/>
        <w:rPr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18) предоставление льгот, социальных гарантий и компенсаций лицам, указанным в </w:t>
      </w:r>
      <w:hyperlink r:id="rId12" w:tooltip="https://login.consultant.ru/link/?req=doc&amp;base=LAW&amp;n=450448&amp;dst=100255&amp;field=134&amp;date=26.09.2023" w:history="1">
        <w:r>
          <w:rPr>
            <w:rStyle w:val="838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пунктах 3.1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и </w:t>
      </w:r>
      <w:hyperlink r:id="rId13" w:tooltip="https://login.consultant.ru/link/?req=doc&amp;base=LAW&amp;n=450448&amp;dst=100256&amp;field=134&amp;date=26.09.2023" w:history="1">
        <w:r>
          <w:rPr>
            <w:rStyle w:val="838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3.2 части 1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статьи 20 Федерального закона №324-ФЗ; </w:t>
      </w:r>
      <w:r>
        <w:rPr>
          <w:color w:val="000000" w:themeColor="text1"/>
          <w:sz w:val="28"/>
          <w:szCs w:val="28"/>
          <w:u w:val="none"/>
        </w:rPr>
      </w:r>
    </w:p>
    <w:p>
      <w:pPr>
        <w:pStyle w:val="674"/>
        <w:ind w:firstLine="708"/>
        <w:jc w:val="both"/>
        <w:rPr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19) предоставление льгот, социальных гарантий и компенсаций лицам, указанным в </w:t>
      </w:r>
      <w:hyperlink r:id="rId14" w:tooltip="https://login.consultant.ru/link/?req=doc&amp;base=LAW&amp;n=450448&amp;dst=100257&amp;field=134&amp;date=26.09.2023" w:history="1">
        <w:r>
          <w:rPr>
            <w:rStyle w:val="838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пункте 3.3 части 1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настоящей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статьи 20 Федерального закона №324-ФЗ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; </w:t>
      </w:r>
      <w:r>
        <w:rPr>
          <w:color w:val="000000" w:themeColor="text1"/>
          <w:sz w:val="28"/>
          <w:szCs w:val="28"/>
          <w:u w:val="none"/>
        </w:rPr>
      </w:r>
    </w:p>
    <w:p>
      <w:pPr>
        <w:pStyle w:val="674"/>
        <w:ind w:firstLine="708"/>
        <w:jc w:val="both"/>
        <w:rPr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20) признание гражданина из числа лиц, указанных в </w:t>
      </w:r>
      <w:hyperlink r:id="rId15" w:tooltip="https://login.consultant.ru/link/?req=doc&amp;base=LAW&amp;n=450448&amp;dst=100255&amp;field=134&amp;date=26.09.2023" w:history="1">
        <w:r>
          <w:rPr>
            <w:rStyle w:val="838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пунктах 3.1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и </w:t>
      </w:r>
      <w:hyperlink r:id="rId16" w:tooltip="https://login.consultant.ru/link/?req=doc&amp;base=LAW&amp;n=450448&amp;dst=100256&amp;field=134&amp;date=26.09.2023" w:history="1">
        <w:r>
          <w:rPr>
            <w:rStyle w:val="838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3.2 части 1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статьи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20 Федерального закона №324-ФЗ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(за исключением членов их семей), безвестно отсутствующим; </w:t>
      </w:r>
      <w:r>
        <w:rPr>
          <w:color w:val="000000" w:themeColor="text1"/>
          <w:sz w:val="28"/>
          <w:szCs w:val="28"/>
          <w:u w:val="none"/>
        </w:rPr>
      </w:r>
    </w:p>
    <w:p>
      <w:pPr>
        <w:pStyle w:val="674"/>
        <w:ind w:firstLine="708"/>
        <w:jc w:val="both"/>
        <w:rPr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21) объявление гражданина из числа лиц, указанных в </w:t>
      </w:r>
      <w:hyperlink r:id="rId17" w:tooltip="https://login.consultant.ru/link/?req=doc&amp;base=LAW&amp;n=450448&amp;dst=100255&amp;field=134&amp;date=26.09.2023" w:history="1">
        <w:r>
          <w:rPr>
            <w:rStyle w:val="838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пунктах 3.1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и </w:t>
      </w:r>
      <w:hyperlink r:id="rId18" w:tooltip="https://login.consultant.ru/link/?req=doc&amp;base=LAW&amp;n=450448&amp;dst=100256&amp;field=134&amp;date=26.09.2023" w:history="1">
        <w:r>
          <w:rPr>
            <w:rStyle w:val="838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3.2 части 1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статьи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20 Федерального закона №324-ФЗ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(за исключением членов их семей), умершим. </w:t>
      </w:r>
      <w:r>
        <w:rPr>
          <w:color w:val="000000" w:themeColor="text1"/>
          <w:sz w:val="28"/>
          <w:szCs w:val="28"/>
          <w:u w:val="none"/>
        </w:rPr>
      </w:r>
    </w:p>
    <w:p>
      <w:pPr>
        <w:pStyle w:val="674"/>
        <w:jc w:val="both"/>
        <w:rPr>
          <w:color w:val="000000" w:themeColor="text1"/>
          <w:sz w:val="28"/>
          <w:szCs w:val="28"/>
          <w:u w:val="none"/>
        </w:rPr>
      </w:pPr>
      <w:r>
        <w:rPr>
          <w:color w:val="000000" w:themeColor="text1"/>
          <w:sz w:val="28"/>
          <w:szCs w:val="28"/>
          <w:u w:val="none"/>
        </w:rPr>
      </w:r>
      <w:r>
        <w:rPr>
          <w:color w:val="000000" w:themeColor="text1"/>
          <w:sz w:val="28"/>
          <w:szCs w:val="28"/>
          <w:u w:val="none"/>
        </w:rPr>
      </w:r>
    </w:p>
    <w:p>
      <w:pPr>
        <w:pStyle w:val="833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Случаи,</w:t>
      </w:r>
      <w:r>
        <w:rPr>
          <w:b/>
          <w:sz w:val="28"/>
          <w:szCs w:val="28"/>
        </w:rPr>
        <w:t xml:space="preserve"> установленные статьей 5 Закона № 113-оз:</w:t>
      </w:r>
      <w:r/>
    </w:p>
    <w:p>
      <w:pPr>
        <w:pStyle w:val="674"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Государственное юридическое бюро автономного округа и адвокаты, участвующие в деятельности государственной системы бесплатной юридической помощи (далее - адвокаты), осуществляют правовое консультирование в устной и письменной форме, составляют заявления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, жалобы, ходатайства и другие документы правового характера, представляют в судах в рамках гражданского судопроизводства (в соответствии с Гражданским процессуальным </w:t>
      </w:r>
      <w:hyperlink r:id="rId19" w:tooltip="https://login.consultant.ru/link/?req=doc&amp;base=LAW&amp;n=450444&amp;date=26.09.2023" w:history="1">
        <w:r>
          <w:rPr>
            <w:rStyle w:val="838"/>
            <w:rFonts w:ascii="Times New Roman" w:hAnsi="Times New Roman" w:eastAsia="Times New Roman" w:cs="Times New Roman"/>
            <w:b w:val="0"/>
            <w:bCs w:val="0"/>
            <w:color w:val="000000" w:themeColor="text1"/>
            <w:sz w:val="28"/>
            <w:szCs w:val="28"/>
            <w:u w:val="none"/>
          </w:rPr>
          <w:t xml:space="preserve">кодексом</w:t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 Российской Федерации) и административного судопроизводства (в соответствии с </w:t>
      </w:r>
      <w:hyperlink r:id="rId20" w:tooltip="https://login.consultant.ru/link/?req=doc&amp;base=LAW&amp;n=452757&amp;date=26.09.2023" w:history="1">
        <w:r>
          <w:rPr>
            <w:rStyle w:val="838"/>
            <w:rFonts w:ascii="Times New Roman" w:hAnsi="Times New Roman" w:eastAsia="Times New Roman" w:cs="Times New Roman"/>
            <w:b w:val="0"/>
            <w:bCs w:val="0"/>
            <w:color w:val="000000" w:themeColor="text1"/>
            <w:sz w:val="28"/>
            <w:szCs w:val="28"/>
            <w:u w:val="none"/>
          </w:rPr>
          <w:t xml:space="preserve">Кодексом</w:t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 административного судопроизводства Российской Федерации), государственных и муниципальных органах, организациях интересы граждан, указанных в </w:t>
      </w:r>
      <w:hyperlink r:id="rId21" w:tooltip="https://login.consultant.ru/link/?req=doc&amp;base=RLAW926&amp;n=264493&amp;dst=100024&amp;field=134&amp;date=26.09.2023" w:history="1">
        <w:r>
          <w:rPr>
            <w:rStyle w:val="838"/>
            <w:rFonts w:ascii="Times New Roman" w:hAnsi="Times New Roman" w:eastAsia="Times New Roman" w:cs="Times New Roman"/>
            <w:b w:val="0"/>
            <w:bCs w:val="0"/>
            <w:color w:val="000000" w:themeColor="text1"/>
            <w:sz w:val="28"/>
            <w:szCs w:val="28"/>
            <w:u w:val="none"/>
          </w:rPr>
          <w:t xml:space="preserve">пункте 1 статьи 4</w:t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  Закона № 102-оз, в следующих случаях: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</w:r>
    </w:p>
    <w:p>
      <w:pPr>
        <w:pStyle w:val="674"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ем гражданина и его семьи);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</w:r>
    </w:p>
    <w:p>
      <w:pPr>
        <w:pStyle w:val="674"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селение из указанного жилого помещения;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</w:r>
    </w:p>
    <w:p>
      <w:pPr>
        <w:pStyle w:val="674"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находится жилой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дом или его часть, являющиеся единственным жилым помещением гражданина и его семьи);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</w:r>
    </w:p>
    <w:p>
      <w:pPr>
        <w:pStyle w:val="674"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4) защита прав потребителей (в части предоставления жилищно-коммунальных услуг);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</w:r>
    </w:p>
    <w:p>
      <w:pPr>
        <w:pStyle w:val="674"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5) отказ работодателя в заключении трудового договора, нарушающий гарантии, установленные Трудовым </w:t>
      </w:r>
      <w:hyperlink r:id="rId22" w:tooltip="https://login.consultant.ru/link/?req=doc&amp;base=LAW&amp;n=433304&amp;date=26.09.2023" w:history="1">
        <w:r>
          <w:rPr>
            <w:rStyle w:val="838"/>
            <w:rFonts w:ascii="Times New Roman" w:hAnsi="Times New Roman" w:eastAsia="Times New Roman" w:cs="Times New Roman"/>
            <w:b w:val="0"/>
            <w:bCs w:val="0"/>
            <w:color w:val="000000" w:themeColor="text1"/>
            <w:sz w:val="28"/>
            <w:szCs w:val="28"/>
            <w:u w:val="none"/>
          </w:rPr>
          <w:t xml:space="preserve">кодексом</w:t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компенсация морального вреда, причиненного неправомерными действиями (бездействием) работодателя;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</w:r>
    </w:p>
    <w:p>
      <w:pPr>
        <w:pStyle w:val="674"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6) признание гражданина безработным и установление пособия по безработице;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</w:r>
    </w:p>
    <w:p>
      <w:pPr>
        <w:pStyle w:val="674"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</w:r>
    </w:p>
    <w:p>
      <w:pPr>
        <w:pStyle w:val="674"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</w:r>
    </w:p>
    <w:p>
      <w:pPr>
        <w:pStyle w:val="674"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9) назначение, перерасчет и взыскание страховых пенсий по старости, социальных пенсий,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</w:r>
    </w:p>
    <w:p>
      <w:pPr>
        <w:pStyle w:val="674"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10) установление и оспаривание отцовства (материнства);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</w:r>
    </w:p>
    <w:p>
      <w:pPr>
        <w:pStyle w:val="674"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11) реабилитация граждан, пострадавших от политических репрессий;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</w:r>
    </w:p>
    <w:p>
      <w:pPr>
        <w:pStyle w:val="674"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12) ограничение дееспособности;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</w:r>
    </w:p>
    <w:p>
      <w:pPr>
        <w:pStyle w:val="674"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13) рассмотрение заявления о признании гражданина недееспособным;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</w:r>
    </w:p>
    <w:p>
      <w:pPr>
        <w:pStyle w:val="674"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14) обжалование нарушений прав и свобод граждан при оказании психиатрической помощи;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</w:r>
    </w:p>
    <w:p>
      <w:pPr>
        <w:pStyle w:val="674"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15) медико-социальная экспертиза и реабилитация инвалидов;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</w:r>
    </w:p>
    <w:p>
      <w:pPr>
        <w:pStyle w:val="674"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16) обжалование во внесудебном порядке актов органов государственной власти, органов местного самоуправления и должностных лиц;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</w:r>
    </w:p>
    <w:p>
      <w:pPr>
        <w:pStyle w:val="674"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16.1)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</w:r>
    </w:p>
    <w:p>
      <w:pPr>
        <w:pStyle w:val="674"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16.2) 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</w:r>
    </w:p>
    <w:p>
      <w:pPr>
        <w:pStyle w:val="674"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16.3)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</w:r>
    </w:p>
    <w:p>
      <w:pPr>
        <w:pStyle w:val="674"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17) рассмотрение вопросов традиционного природопользования, землепользования (для представителей коренных малочисленных народов, имеющих право на бесплатную юридическую помощь);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</w:r>
    </w:p>
    <w:p>
      <w:pPr>
        <w:pStyle w:val="674"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18) установление факта национальной принадлежности гражданина к коренным малочисленным народам, проживающим на территории автономного округа (ханты, манси, ненцы);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</w:r>
    </w:p>
    <w:p>
      <w:pPr>
        <w:pStyle w:val="674"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19) отказ гражданам в бесплатной приватизации занимаемых ими по договорам социального найма жилых помещений.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</w:r>
    </w:p>
    <w:p>
      <w:pPr>
        <w:pStyle w:val="674"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u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20) в экстренных случаях право на получение бесплатной юридической помощи имеют граждане, оказавшиеся в трудной жизненной ситуации.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</w:r>
    </w:p>
    <w:p>
      <w:pPr>
        <w:pStyle w:val="674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</w:r>
    </w:p>
    <w:p>
      <w:pPr>
        <w:pStyle w:val="846"/>
        <w:ind w:firstLine="709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6"/>
        <w:ind w:firstLine="709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 Порядок оказания гражданам бесплатной юридической помощи</w:t>
      </w:r>
      <w:r/>
    </w:p>
    <w:p>
      <w:pPr>
        <w:pStyle w:val="8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получения бесплатной юридической помощи гражданин </w:t>
      </w:r>
      <w:r>
        <w:rPr>
          <w:sz w:val="28"/>
          <w:szCs w:val="28"/>
        </w:rPr>
        <w:t xml:space="preserve">может обратиться непосредственно к адвокату или в исполнительные органы  автономного округа и подведомственные им учреждения.</w:t>
      </w:r>
      <w:r/>
    </w:p>
    <w:p>
      <w:pPr>
        <w:pStyle w:val="8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обращения гражданина для получения бесплатной юридической помощи к адвокату, </w:t>
      </w:r>
      <w:r>
        <w:rPr>
          <w:sz w:val="28"/>
          <w:szCs w:val="28"/>
        </w:rPr>
        <w:t xml:space="preserve">вместе с заявлением об оказании бесплатной юридической помощи пред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ставляет</w:t>
      </w:r>
      <w:r>
        <w:rPr>
          <w:sz w:val="28"/>
          <w:szCs w:val="28"/>
        </w:rPr>
        <w:t xml:space="preserve">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паспорт или иной документ, удостоверяющий личность гражданина Российской Федерации, а также документ, подтверждающий отнесение его к одной из категорий граждан, имеющих право на получение бесплатной юридической помощи</w:t>
      </w:r>
      <w:r>
        <w:rPr>
          <w:sz w:val="28"/>
          <w:szCs w:val="28"/>
        </w:rPr>
        <w:t xml:space="preserve">. </w:t>
      </w:r>
      <w:r/>
    </w:p>
    <w:p>
      <w:pPr>
        <w:pStyle w:val="8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оказания юридической помощи гражданину из числа коренных малочисленных народов Севера</w:t>
      </w:r>
      <w:r>
        <w:rPr>
          <w:sz w:val="28"/>
          <w:szCs w:val="28"/>
        </w:rPr>
        <w:t xml:space="preserve"> автономного округа (ханты, манси, ненцы) также прилагается копия вступившего в силу решения суда об установлении факта национальной принадлежности гражданина либо копия свидетельства о государственной регистрации акта гражданского состояния, в котором ука</w:t>
      </w:r>
      <w:r>
        <w:rPr>
          <w:sz w:val="28"/>
          <w:szCs w:val="28"/>
        </w:rPr>
        <w:t xml:space="preserve">зана национальная принадлежность гражданина (свидетельство о рождении, свидетельство о заключении брака, свидетельство о расторжении брака, свидетельство об усыновлении (удочерении), свидетельство об установлении отцовства, свидетельство о перемене имени).</w:t>
      </w:r>
      <w:r/>
    </w:p>
    <w:p>
      <w:pPr>
        <w:pStyle w:val="842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заявлении указывается фамилия, имя, отчество гражданина, его место жительство, контактный телефон, а также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категория гражданина,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дающая право на предоставление бесплатной юридической помощи 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случай,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которому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необходим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предоставление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бесплатная юридическая помощь.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pStyle w:val="842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случае необходимости указывается потребность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выезд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адвоката к инвалиду 1 и 2 группы, пожилому гражданину старше 65 лет, который по состоянию здоровья не может самостоятельно передвигаться, лицу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находящемуся в учреждениях системы профилактики безнадзорности и правонарушений несовершеннолетних, гражданину, находящемуся в государственных учреждениях стационарного обслуживания, в которых постоянно проживают граждане пожилого возраста или инвалиды.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pStyle w:val="833"/>
        <w:ind w:firstLine="709"/>
        <w:jc w:val="both"/>
        <w:rPr>
          <w:sz w:val="28"/>
          <w:szCs w:val="28"/>
        </w:rPr>
        <w:outlineLvl w:val="0"/>
      </w:pPr>
      <w:r>
        <w:rPr>
          <w:bCs/>
          <w:sz w:val="28"/>
          <w:szCs w:val="28"/>
        </w:rPr>
        <w:t xml:space="preserve">Также в заявлении гражданин указ</w:t>
      </w:r>
      <w:r>
        <w:rPr>
          <w:bCs/>
          <w:sz w:val="28"/>
          <w:szCs w:val="28"/>
        </w:rPr>
        <w:t xml:space="preserve">ывает</w:t>
      </w:r>
      <w:r>
        <w:rPr>
          <w:bCs/>
          <w:sz w:val="28"/>
          <w:szCs w:val="28"/>
        </w:rPr>
        <w:t xml:space="preserve">, что по данному вопросу в аналогичном объеме он бесплатную юридическую помощь не получал.</w:t>
      </w:r>
      <w:r>
        <w:rPr>
          <w:sz w:val="28"/>
          <w:szCs w:val="28"/>
        </w:rPr>
        <w:t xml:space="preserve"> </w:t>
      </w:r>
      <w:r/>
    </w:p>
    <w:p>
      <w:pPr>
        <w:pStyle w:val="833"/>
        <w:ind w:firstLine="709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За достоверность пред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ставленной </w:t>
      </w:r>
      <w:r>
        <w:rPr>
          <w:sz w:val="28"/>
          <w:szCs w:val="28"/>
        </w:rPr>
        <w:t xml:space="preserve">в заявлении </w:t>
      </w:r>
      <w:r>
        <w:rPr>
          <w:sz w:val="28"/>
          <w:szCs w:val="28"/>
        </w:rPr>
        <w:t xml:space="preserve">информации ответственность </w:t>
      </w:r>
      <w:r>
        <w:rPr>
          <w:sz w:val="28"/>
          <w:szCs w:val="28"/>
        </w:rPr>
        <w:t xml:space="preserve">несет </w:t>
      </w:r>
      <w:r>
        <w:rPr>
          <w:sz w:val="28"/>
          <w:szCs w:val="28"/>
        </w:rPr>
        <w:t xml:space="preserve">гражданин либо его законный представитель или представитель. </w:t>
      </w:r>
      <w:r/>
    </w:p>
    <w:p>
      <w:pPr>
        <w:pStyle w:val="833"/>
        <w:ind w:firstLine="709"/>
        <w:jc w:val="both"/>
        <w:rPr>
          <w:sz w:val="28"/>
          <w:szCs w:val="28"/>
        </w:rPr>
        <w:outlineLvl w:val="2"/>
      </w:pPr>
      <w:r>
        <w:rPr>
          <w:sz w:val="28"/>
          <w:szCs w:val="28"/>
        </w:rPr>
      </w:r>
      <w:r/>
    </w:p>
    <w:p>
      <w:pPr>
        <w:pStyle w:val="833"/>
        <w:ind w:firstLine="709"/>
        <w:jc w:val="both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В случае обращения гражданина в исполнительные органы </w:t>
      </w:r>
      <w:r>
        <w:rPr>
          <w:sz w:val="28"/>
          <w:szCs w:val="28"/>
        </w:rPr>
        <w:t xml:space="preserve"> автономного округа или подведомственные им учреждения для получения бесплатной юридической помощи указанные органы самостоятельно запрашивают у гражданина либо в иных исполнительных органах, органах местного самоуправления и организациях </w:t>
      </w:r>
      <w:r>
        <w:rPr>
          <w:sz w:val="28"/>
          <w:szCs w:val="28"/>
        </w:rPr>
        <w:t xml:space="preserve">документы,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подтверждающие</w:t>
      </w:r>
      <w:r>
        <w:rPr>
          <w:sz w:val="28"/>
          <w:szCs w:val="28"/>
        </w:rPr>
        <w:t xml:space="preserve"> право на получение бесплатной юридической помощи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pStyle w:val="842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 принятии решения об оказании бесплатной юридической помощи исполнительные органы автономного округа или подведомственные им учреждения выдают гражданину направление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 получение бесплатной юридической помощи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где указывают фамилию, имя, отчество адвоката, который будет оказывать ему бесплатную юридическую помощь, адрес его адвокатского образования.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</w:r>
      <w:r/>
    </w:p>
    <w:p>
      <w:pPr>
        <w:pStyle w:val="833"/>
        <w:ind w:firstLine="709"/>
        <w:jc w:val="both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Об отказе в оказании бесплатной юридической помощи исполнительные органы государственной власти автономного округа или подведомственные им учреждения письменно уведомляют гражданина.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pStyle w:val="833"/>
        <w:ind w:firstLine="709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/>
    </w:p>
    <w:p>
      <w:pPr>
        <w:pStyle w:val="833"/>
        <w:ind w:firstLine="709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Кроме того, предусмотрено оказание в экстренных случаях бесплатной юридической помощи гражданам, оказавшимся в трудной жизненной ситуации. </w:t>
      </w:r>
      <w:r/>
    </w:p>
    <w:p>
      <w:pPr>
        <w:pStyle w:val="833"/>
        <w:ind w:firstLine="709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Решение об оказании в экстренных случаях бесплатной юридической помощи </w:t>
      </w:r>
      <w:r>
        <w:rPr>
          <w:sz w:val="28"/>
          <w:szCs w:val="28"/>
        </w:rPr>
        <w:t xml:space="preserve">гражданам, оказавшимся в трудной жизненной ситуации принимается Комиссией по рассмотрению обращений граждан, оказавшихся в трудной жизненной ситуации, для оказания в экстренных случаях бесплатной юридической помощи, состав и положение о которой утверждены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риказом Департамента </w:t>
      </w:r>
      <w:r>
        <w:rPr>
          <w:sz w:val="28"/>
          <w:szCs w:val="28"/>
        </w:rPr>
        <w:t xml:space="preserve">региональной безопасности Ханты-Мансийского автономного округа – Югры от </w:t>
      </w:r>
      <w:r>
        <w:rPr>
          <w:sz w:val="28"/>
          <w:szCs w:val="28"/>
        </w:rPr>
        <w:t xml:space="preserve">28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2 года № </w:t>
      </w:r>
      <w:r>
        <w:rPr>
          <w:sz w:val="28"/>
          <w:szCs w:val="28"/>
        </w:rPr>
        <w:t xml:space="preserve">44-ОД-106</w:t>
      </w:r>
      <w:r>
        <w:rPr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 xml:space="preserve">Об утверждении Положения и состава Комиссии по рассмотрению обращений граждан, оказавшихся в трудной жизненной ситуации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/>
    </w:p>
    <w:p>
      <w:pPr>
        <w:pStyle w:val="833"/>
        <w:ind w:firstLine="709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Обращение гражданина, оказавшегося в трудной жизненной с</w:t>
      </w:r>
      <w:r>
        <w:rPr>
          <w:sz w:val="28"/>
          <w:szCs w:val="28"/>
        </w:rPr>
        <w:t xml:space="preserve">итуации, нуждающегося в бесплатной юридической помощи в экстренном случае, поступившее в исполнительные органы государственной власти автономного округа или подведомственные им учреждения в течение одного рабочего дня со дня его поступления направляется в </w:t>
      </w:r>
      <w:r>
        <w:rPr>
          <w:sz w:val="28"/>
          <w:szCs w:val="28"/>
        </w:rPr>
        <w:t xml:space="preserve">Департамент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региональной безопасности Ханты-Мансийского автономного округа – Югры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pStyle w:val="833"/>
        <w:ind w:firstLine="720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Комиссия при поступлении обращения гражданина, оказавшегося в трудной</w:t>
      </w:r>
      <w:r>
        <w:rPr>
          <w:sz w:val="28"/>
          <w:szCs w:val="28"/>
        </w:rPr>
        <w:t xml:space="preserve"> жизненной ситуации, в течение трех</w:t>
      </w:r>
      <w:r>
        <w:rPr>
          <w:sz w:val="28"/>
          <w:szCs w:val="28"/>
        </w:rPr>
        <w:t xml:space="preserve"> рабочих дней со дня его поступления в комиссию принимает решение об оказании ему в экстренном случае бесплатной юридической помощи либо об отказе в такой помощи.</w:t>
      </w:r>
      <w:r>
        <w:rPr>
          <w:sz w:val="28"/>
          <w:szCs w:val="28"/>
        </w:rPr>
      </w:r>
      <w:r/>
    </w:p>
    <w:p>
      <w:pPr>
        <w:pStyle w:val="833"/>
        <w:ind w:firstLine="720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В случае запроса дополнительной информации, документов, необ</w:t>
      </w:r>
      <w:r>
        <w:rPr>
          <w:sz w:val="28"/>
          <w:szCs w:val="28"/>
        </w:rPr>
        <w:t xml:space="preserve">ходимых для принятия решения по обращению гражданина, оказавшегося в трудной жизненной ситуации, решение по обращению комиссия принимает в течение 10 рабочих дней со дня регистрации указанного обращения в </w:t>
      </w:r>
      <w:r>
        <w:rPr>
          <w:sz w:val="28"/>
          <w:szCs w:val="28"/>
        </w:rPr>
        <w:t xml:space="preserve">Департаменте </w:t>
      </w:r>
      <w:r>
        <w:rPr>
          <w:sz w:val="28"/>
          <w:szCs w:val="28"/>
        </w:rPr>
        <w:t xml:space="preserve">региональной безопасности Ханты-Мансийского автономного округа – Югры</w:t>
      </w:r>
      <w:r>
        <w:rPr>
          <w:sz w:val="28"/>
          <w:szCs w:val="28"/>
        </w:rPr>
      </w:r>
      <w:r/>
    </w:p>
    <w:p>
      <w:pPr>
        <w:pStyle w:val="833"/>
        <w:ind w:firstLine="720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Департамент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региональной безопасности Ханты-Мансийского автономного округа – Югры </w:t>
      </w:r>
      <w:r>
        <w:rPr>
          <w:sz w:val="28"/>
          <w:szCs w:val="28"/>
        </w:rPr>
        <w:t xml:space="preserve">в течение одного рабочего дня со дня принятия комиссией решения об оказании бесплатной юридической помощи выдает гражданину, оказавшемус</w:t>
      </w:r>
      <w:r>
        <w:rPr>
          <w:sz w:val="28"/>
          <w:szCs w:val="28"/>
        </w:rPr>
        <w:t xml:space="preserve">я в трудной жизненной ситуации, направление об оказании бесплатной юридической помощи адвокатом, осуществляющим деятельность по месту жительства гражданина. Либо направляет гражданину решение комиссии об отказе в оказании ему бесплатной юридической помощи.</w:t>
      </w:r>
      <w:r>
        <w:rPr>
          <w:sz w:val="28"/>
          <w:szCs w:val="28"/>
        </w:rPr>
      </w:r>
      <w:r/>
    </w:p>
    <w:p>
      <w:pPr>
        <w:pStyle w:val="833"/>
        <w:ind w:firstLine="720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/>
    </w:p>
    <w:p>
      <w:pPr>
        <w:pStyle w:val="833"/>
        <w:ind w:firstLine="720"/>
        <w:jc w:val="both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4</w:t>
      </w:r>
      <w:r>
        <w:rPr>
          <w:b/>
          <w:sz w:val="28"/>
          <w:szCs w:val="28"/>
        </w:rPr>
        <w:t xml:space="preserve">. Контактная информация </w:t>
      </w:r>
      <w:r/>
    </w:p>
    <w:p>
      <w:pPr>
        <w:pStyle w:val="833"/>
        <w:ind w:firstLine="720"/>
        <w:jc w:val="both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</w:r>
      <w:r/>
    </w:p>
    <w:p>
      <w:pPr>
        <w:pStyle w:val="833"/>
        <w:ind w:firstLine="709"/>
        <w:jc w:val="both"/>
        <w:rPr>
          <w:bCs/>
          <w:sz w:val="28"/>
          <w:szCs w:val="28"/>
        </w:rPr>
        <w:outlineLvl w:val="0"/>
      </w:pPr>
      <w:r>
        <w:rPr>
          <w:bCs/>
          <w:sz w:val="28"/>
          <w:szCs w:val="28"/>
        </w:rPr>
        <w:t xml:space="preserve">По вопрос</w:t>
      </w:r>
      <w:r>
        <w:rPr>
          <w:bCs/>
          <w:sz w:val="28"/>
          <w:szCs w:val="28"/>
        </w:rPr>
        <w:t xml:space="preserve">ам</w:t>
      </w:r>
      <w:r>
        <w:rPr>
          <w:bCs/>
          <w:sz w:val="28"/>
          <w:szCs w:val="28"/>
        </w:rPr>
        <w:t xml:space="preserve"> предоставления бесплатной юридической помощи граждане могут обратиться к сотрудникам о</w:t>
      </w:r>
      <w:r>
        <w:rPr>
          <w:bCs/>
          <w:sz w:val="28"/>
          <w:szCs w:val="28"/>
        </w:rPr>
        <w:t xml:space="preserve">тдел</w:t>
      </w:r>
      <w:r>
        <w:rPr>
          <w:bCs/>
          <w:sz w:val="28"/>
          <w:szCs w:val="28"/>
        </w:rPr>
        <w:t xml:space="preserve">а</w:t>
      </w:r>
      <w:r>
        <w:rPr>
          <w:bCs/>
          <w:sz w:val="28"/>
          <w:szCs w:val="28"/>
        </w:rPr>
        <w:t xml:space="preserve"> административных комиссий</w:t>
      </w:r>
      <w:r>
        <w:rPr>
          <w:bCs/>
          <w:sz w:val="28"/>
          <w:szCs w:val="28"/>
        </w:rPr>
        <w:t xml:space="preserve"> и вопросов правозащиты </w:t>
      </w:r>
      <w:r>
        <w:rPr>
          <w:bCs/>
          <w:sz w:val="28"/>
          <w:szCs w:val="28"/>
        </w:rPr>
        <w:t xml:space="preserve">Департамента </w:t>
      </w:r>
      <w:r>
        <w:rPr>
          <w:sz w:val="28"/>
          <w:szCs w:val="28"/>
        </w:rPr>
        <w:t xml:space="preserve">региональной безопасности Ханты-Мансийского автономного округа – Югры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 телефонам: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</w:r>
      <w:r/>
    </w:p>
    <w:p>
      <w:pPr>
        <w:pStyle w:val="833"/>
        <w:jc w:val="both"/>
        <w:rPr>
          <w:bCs/>
          <w:sz w:val="28"/>
          <w:szCs w:val="28"/>
        </w:rPr>
        <w:outlineLvl w:val="0"/>
      </w:pPr>
      <w:r>
        <w:rPr>
          <w:bCs/>
          <w:sz w:val="28"/>
          <w:szCs w:val="28"/>
        </w:rPr>
        <w:t xml:space="preserve">Начальник отдела Чебыкин Алексей Федорович (3467) 3</w:t>
      </w:r>
      <w:r>
        <w:rPr>
          <w:bCs/>
          <w:sz w:val="28"/>
          <w:szCs w:val="28"/>
        </w:rPr>
        <w:t xml:space="preserve">60-155 (</w:t>
      </w:r>
      <w:r>
        <w:rPr>
          <w:bCs/>
          <w:sz w:val="28"/>
          <w:szCs w:val="28"/>
        </w:rPr>
        <w:t xml:space="preserve">доб.1542</w:t>
      </w:r>
      <w:r>
        <w:rPr>
          <w:bCs/>
          <w:sz w:val="28"/>
          <w:szCs w:val="28"/>
        </w:rPr>
        <w:t xml:space="preserve">)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  <w:r/>
    </w:p>
    <w:p>
      <w:pPr>
        <w:pStyle w:val="833"/>
        <w:jc w:val="both"/>
        <w:rPr>
          <w:bCs/>
          <w:sz w:val="28"/>
          <w:szCs w:val="28"/>
        </w:rPr>
        <w:outlineLvl w:val="0"/>
      </w:pPr>
      <w:r>
        <w:rPr>
          <w:bCs/>
          <w:sz w:val="28"/>
          <w:szCs w:val="28"/>
        </w:rPr>
        <w:t xml:space="preserve">Консультант Фартышев Алексей Евгеньевич (3467) 3</w:t>
      </w:r>
      <w:r>
        <w:rPr>
          <w:bCs/>
          <w:sz w:val="28"/>
          <w:szCs w:val="28"/>
        </w:rPr>
        <w:t xml:space="preserve">60-155 (доб.1543);</w:t>
      </w:r>
      <w:r>
        <w:rPr>
          <w:bCs/>
          <w:sz w:val="28"/>
          <w:szCs w:val="28"/>
        </w:rPr>
      </w:r>
      <w:r/>
    </w:p>
    <w:p>
      <w:pPr>
        <w:pStyle w:val="833"/>
        <w:jc w:val="both"/>
        <w:rPr>
          <w:bCs/>
          <w:sz w:val="28"/>
          <w:szCs w:val="28"/>
        </w:rPr>
        <w:outlineLvl w:val="0"/>
      </w:pPr>
      <w:r>
        <w:rPr>
          <w:bCs/>
          <w:sz w:val="28"/>
          <w:szCs w:val="28"/>
        </w:rPr>
        <w:t xml:space="preserve">Консультант Попов Олег Владимирович </w:t>
      </w:r>
      <w:r>
        <w:rPr>
          <w:bCs/>
          <w:sz w:val="28"/>
          <w:szCs w:val="28"/>
        </w:rPr>
        <w:t xml:space="preserve">(3467) 3</w:t>
      </w:r>
      <w:r>
        <w:rPr>
          <w:bCs/>
          <w:sz w:val="28"/>
          <w:szCs w:val="28"/>
        </w:rPr>
        <w:t xml:space="preserve">60-155 (доб.1544)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  <w:r/>
    </w:p>
    <w:p>
      <w:pPr>
        <w:pStyle w:val="833"/>
        <w:jc w:val="both"/>
        <w:rPr>
          <w:bCs/>
          <w:sz w:val="28"/>
          <w:szCs w:val="28"/>
        </w:rPr>
        <w:outlineLvl w:val="0"/>
      </w:pPr>
      <w:r>
        <w:rPr>
          <w:bCs/>
          <w:sz w:val="28"/>
          <w:szCs w:val="28"/>
        </w:rPr>
        <w:t xml:space="preserve">Консультант Семыкин Константин Николаевич </w:t>
      </w:r>
      <w:r>
        <w:rPr>
          <w:bCs/>
          <w:sz w:val="28"/>
          <w:szCs w:val="28"/>
        </w:rPr>
        <w:t xml:space="preserve">(3467) 3</w:t>
      </w:r>
      <w:r>
        <w:rPr>
          <w:bCs/>
          <w:sz w:val="28"/>
          <w:szCs w:val="28"/>
        </w:rPr>
        <w:t xml:space="preserve">60-155 (доб.1545);</w:t>
      </w:r>
      <w:r/>
    </w:p>
    <w:p>
      <w:pPr>
        <w:pStyle w:val="833"/>
        <w:jc w:val="both"/>
        <w:rPr>
          <w:bCs/>
          <w:sz w:val="28"/>
          <w:szCs w:val="28"/>
        </w:rPr>
        <w:outlineLvl w:val="0"/>
      </w:pPr>
      <w:r>
        <w:rPr>
          <w:bCs/>
          <w:sz w:val="28"/>
          <w:szCs w:val="28"/>
        </w:rPr>
        <w:t xml:space="preserve">Главный специалист-эксперт </w:t>
      </w:r>
      <w:r>
        <w:rPr>
          <w:bCs/>
          <w:sz w:val="28"/>
          <w:szCs w:val="28"/>
        </w:rPr>
        <w:t xml:space="preserve">Чичкан Сергей Николаевич </w:t>
      </w:r>
      <w:r>
        <w:rPr>
          <w:bCs/>
          <w:sz w:val="28"/>
          <w:szCs w:val="28"/>
        </w:rPr>
        <w:t xml:space="preserve">(3467) 3</w:t>
      </w:r>
      <w:r>
        <w:rPr>
          <w:bCs/>
          <w:sz w:val="28"/>
          <w:szCs w:val="28"/>
        </w:rPr>
        <w:t xml:space="preserve">60-155 (доб.1547).</w:t>
      </w:r>
      <w:r/>
    </w:p>
    <w:sectPr>
      <w:headerReference w:type="default" r:id="rId8"/>
      <w:footnotePr/>
      <w:endnotePr/>
      <w:type w:val="nextPage"/>
      <w:pgSz w:w="11906" w:h="16838" w:orient="portrait"/>
      <w:pgMar w:top="1418" w:right="1276" w:bottom="1134" w:left="1559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iddenHorzOCl">
    <w:panose1 w:val="05050102010205020202"/>
  </w:font>
  <w:font w:name="Verdana">
    <w:panose1 w:val="020B060403050404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7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8</w:t>
    </w:r>
    <w:r>
      <w:rPr>
        <w:sz w:val="20"/>
        <w:szCs w:val="20"/>
      </w:rPr>
      <w:fldChar w:fldCharType="end"/>
    </w:r>
    <w:r>
      <w:rPr>
        <w:sz w:val="20"/>
        <w:szCs w:val="20"/>
      </w:rPr>
    </w:r>
    <w:r/>
  </w:p>
  <w:p>
    <w:pPr>
      <w:pStyle w:val="84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3"/>
    <w:next w:val="833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3"/>
    <w:next w:val="833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3"/>
    <w:next w:val="833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3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833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833"/>
    <w:next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next w:val="833"/>
    <w:link w:val="833"/>
    <w:qFormat/>
    <w:rPr>
      <w:sz w:val="24"/>
      <w:szCs w:val="24"/>
      <w:lang w:val="ru-RU" w:eastAsia="ru-RU" w:bidi="ar-SA"/>
    </w:rPr>
  </w:style>
  <w:style w:type="character" w:styleId="834">
    <w:name w:val="Основной шрифт абзаца"/>
    <w:next w:val="834"/>
    <w:link w:val="833"/>
    <w:semiHidden/>
  </w:style>
  <w:style w:type="table" w:styleId="835">
    <w:name w:val="Обычная таблица"/>
    <w:next w:val="835"/>
    <w:link w:val="833"/>
    <w:semiHidden/>
    <w:tblPr/>
  </w:style>
  <w:style w:type="numbering" w:styleId="836">
    <w:name w:val="Нет списка"/>
    <w:next w:val="836"/>
    <w:link w:val="833"/>
    <w:semiHidden/>
  </w:style>
  <w:style w:type="paragraph" w:styleId="837">
    <w:name w:val="ConsPlusNonformat"/>
    <w:next w:val="837"/>
    <w:link w:val="833"/>
    <w:rPr>
      <w:rFonts w:ascii="Courier New" w:hAnsi="Courier New" w:cs="Courier New"/>
      <w:lang w:val="ru-RU" w:eastAsia="ru-RU" w:bidi="ar-SA"/>
    </w:rPr>
  </w:style>
  <w:style w:type="character" w:styleId="838">
    <w:name w:val="Гиперссылка"/>
    <w:next w:val="838"/>
    <w:link w:val="833"/>
    <w:rPr>
      <w:color w:val="0000ff"/>
      <w:u w:val="single"/>
    </w:rPr>
  </w:style>
  <w:style w:type="table" w:styleId="839">
    <w:name w:val="Сетка таблицы"/>
    <w:basedOn w:val="835"/>
    <w:next w:val="839"/>
    <w:link w:val="833"/>
    <w:uiPriority w:val="59"/>
    <w:rPr>
      <w:rFonts w:ascii="Calibri" w:hAnsi="Calibri" w:eastAsia="Times New Roman" w:cs="Times New Roman"/>
      <w:sz w:val="22"/>
      <w:szCs w:val="22"/>
    </w:rPr>
    <w:tblPr/>
  </w:style>
  <w:style w:type="paragraph" w:styleId="840">
    <w:name w:val="Текст выноски"/>
    <w:basedOn w:val="833"/>
    <w:next w:val="840"/>
    <w:link w:val="841"/>
    <w:uiPriority w:val="99"/>
    <w:semiHidden/>
    <w:unhideWhenUsed/>
    <w:rPr>
      <w:rFonts w:ascii="Tahoma" w:hAnsi="Tahoma" w:cs="Tahoma"/>
      <w:sz w:val="16"/>
      <w:szCs w:val="16"/>
    </w:rPr>
  </w:style>
  <w:style w:type="character" w:styleId="841">
    <w:name w:val="Текст выноски Знак"/>
    <w:next w:val="841"/>
    <w:link w:val="840"/>
    <w:uiPriority w:val="99"/>
    <w:semiHidden/>
    <w:rPr>
      <w:rFonts w:ascii="Tahoma" w:hAnsi="Tahoma" w:cs="Tahoma"/>
      <w:sz w:val="16"/>
      <w:szCs w:val="16"/>
    </w:rPr>
  </w:style>
  <w:style w:type="paragraph" w:styleId="842">
    <w:name w:val="ConsPlusTitle"/>
    <w:next w:val="842"/>
    <w:link w:val="833"/>
    <w:pPr>
      <w:widowControl w:val="off"/>
    </w:pPr>
    <w:rPr>
      <w:rFonts w:ascii="Calibri" w:hAnsi="Calibri" w:cs="Calibri"/>
      <w:b/>
      <w:bCs/>
      <w:sz w:val="22"/>
      <w:szCs w:val="22"/>
      <w:lang w:val="ru-RU" w:eastAsia="ru-RU" w:bidi="ar-SA"/>
    </w:rPr>
  </w:style>
  <w:style w:type="paragraph" w:styleId="843">
    <w:name w:val=" Знак"/>
    <w:basedOn w:val="833"/>
    <w:next w:val="843"/>
    <w:link w:val="833"/>
    <w:pPr>
      <w:ind w:left="1287" w:hanging="360"/>
      <w:jc w:val="both"/>
      <w:spacing w:after="160" w:line="240" w:lineRule="exact"/>
      <w:tabs>
        <w:tab w:val="num" w:pos="1287" w:leader="none"/>
      </w:tabs>
    </w:pPr>
    <w:rPr>
      <w:rFonts w:ascii="Verdana" w:hAnsi="Verdana" w:cs="Arial"/>
      <w:sz w:val="20"/>
      <w:szCs w:val="20"/>
      <w:lang w:val="en-US" w:eastAsia="en-US"/>
    </w:rPr>
  </w:style>
  <w:style w:type="paragraph" w:styleId="844">
    <w:name w:val="Default"/>
    <w:next w:val="844"/>
    <w:link w:val="833"/>
    <w:rPr>
      <w:rFonts w:ascii="HiddenHorzOCl" w:hAnsi="HiddenHorzOCl" w:cs="HiddenHorzOCl"/>
      <w:color w:val="000000"/>
      <w:sz w:val="24"/>
      <w:szCs w:val="24"/>
      <w:lang w:val="ru-RU" w:eastAsia="ru-RU" w:bidi="ar-SA"/>
    </w:rPr>
  </w:style>
  <w:style w:type="paragraph" w:styleId="845">
    <w:name w:val="ConsPlusNormal"/>
    <w:next w:val="845"/>
    <w:link w:val="833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46">
    <w:name w:val="Обычный (веб)"/>
    <w:basedOn w:val="833"/>
    <w:next w:val="846"/>
    <w:link w:val="833"/>
    <w:pPr>
      <w:spacing w:before="100" w:beforeAutospacing="1" w:after="100" w:afterAutospacing="1"/>
    </w:pPr>
    <w:rPr>
      <w:rFonts w:ascii="Calibri" w:hAnsi="Calibri" w:cs="Calibri"/>
    </w:rPr>
  </w:style>
  <w:style w:type="paragraph" w:styleId="847">
    <w:name w:val="Верхний колонтитул"/>
    <w:basedOn w:val="833"/>
    <w:next w:val="847"/>
    <w:link w:val="84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8">
    <w:name w:val="Верхний колонтитул Знак"/>
    <w:next w:val="848"/>
    <w:link w:val="847"/>
    <w:uiPriority w:val="99"/>
    <w:rPr>
      <w:sz w:val="24"/>
      <w:szCs w:val="24"/>
    </w:rPr>
  </w:style>
  <w:style w:type="paragraph" w:styleId="849">
    <w:name w:val="Нижний колонтитул"/>
    <w:basedOn w:val="833"/>
    <w:next w:val="849"/>
    <w:link w:val="85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0">
    <w:name w:val="Нижний колонтитул Знак"/>
    <w:next w:val="850"/>
    <w:link w:val="849"/>
    <w:uiPriority w:val="99"/>
    <w:rPr>
      <w:sz w:val="24"/>
      <w:szCs w:val="24"/>
    </w:rPr>
  </w:style>
  <w:style w:type="character" w:styleId="851">
    <w:name w:val="Знак примечания"/>
    <w:next w:val="851"/>
    <w:link w:val="833"/>
    <w:uiPriority w:val="99"/>
    <w:semiHidden/>
    <w:unhideWhenUsed/>
    <w:rPr>
      <w:sz w:val="16"/>
      <w:szCs w:val="16"/>
    </w:rPr>
  </w:style>
  <w:style w:type="paragraph" w:styleId="852">
    <w:name w:val="Текст примечания"/>
    <w:basedOn w:val="833"/>
    <w:next w:val="852"/>
    <w:link w:val="853"/>
    <w:uiPriority w:val="99"/>
    <w:semiHidden/>
    <w:unhideWhenUsed/>
    <w:rPr>
      <w:sz w:val="20"/>
      <w:szCs w:val="20"/>
    </w:rPr>
  </w:style>
  <w:style w:type="character" w:styleId="853">
    <w:name w:val="Текст примечания Знак"/>
    <w:basedOn w:val="834"/>
    <w:next w:val="853"/>
    <w:link w:val="852"/>
    <w:uiPriority w:val="99"/>
    <w:semiHidden/>
  </w:style>
  <w:style w:type="paragraph" w:styleId="854">
    <w:name w:val="Тема примечания"/>
    <w:basedOn w:val="852"/>
    <w:next w:val="852"/>
    <w:link w:val="855"/>
    <w:uiPriority w:val="99"/>
    <w:semiHidden/>
    <w:unhideWhenUsed/>
    <w:rPr>
      <w:b/>
      <w:bCs/>
    </w:rPr>
  </w:style>
  <w:style w:type="character" w:styleId="855">
    <w:name w:val="Тема примечания Знак"/>
    <w:next w:val="855"/>
    <w:link w:val="854"/>
    <w:uiPriority w:val="99"/>
    <w:semiHidden/>
    <w:rPr>
      <w:b/>
      <w:bCs/>
    </w:rPr>
  </w:style>
  <w:style w:type="character" w:styleId="856" w:default="1">
    <w:name w:val="Default Paragraph Font"/>
    <w:uiPriority w:val="1"/>
    <w:semiHidden/>
    <w:unhideWhenUsed/>
  </w:style>
  <w:style w:type="numbering" w:styleId="857" w:default="1">
    <w:name w:val="No List"/>
    <w:uiPriority w:val="99"/>
    <w:semiHidden/>
    <w:unhideWhenUsed/>
  </w:style>
  <w:style w:type="table" w:styleId="85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https://login.consultant.ru/link/?req=doc&amp;base=LAW&amp;n=449650&amp;dst=100339&amp;field=134&amp;date=26.09.2023" TargetMode="External"/><Relationship Id="rId10" Type="http://schemas.openxmlformats.org/officeDocument/2006/relationships/hyperlink" Target="https://login.consultant.ru/link/?req=doc&amp;base=LAW&amp;n=370194&amp;date=26.09.2023" TargetMode="External"/><Relationship Id="rId11" Type="http://schemas.openxmlformats.org/officeDocument/2006/relationships/hyperlink" Target="https://login.consultant.ru/link/?req=doc&amp;base=LAW&amp;n=452681&amp;date=26.09.2023" TargetMode="External"/><Relationship Id="rId12" Type="http://schemas.openxmlformats.org/officeDocument/2006/relationships/hyperlink" Target="https://login.consultant.ru/link/?req=doc&amp;base=LAW&amp;n=450448&amp;dst=100255&amp;field=134&amp;date=26.09.2023" TargetMode="External"/><Relationship Id="rId13" Type="http://schemas.openxmlformats.org/officeDocument/2006/relationships/hyperlink" Target="https://login.consultant.ru/link/?req=doc&amp;base=LAW&amp;n=450448&amp;dst=100256&amp;field=134&amp;date=26.09.2023" TargetMode="External"/><Relationship Id="rId14" Type="http://schemas.openxmlformats.org/officeDocument/2006/relationships/hyperlink" Target="https://login.consultant.ru/link/?req=doc&amp;base=LAW&amp;n=450448&amp;dst=100257&amp;field=134&amp;date=26.09.2023" TargetMode="External"/><Relationship Id="rId15" Type="http://schemas.openxmlformats.org/officeDocument/2006/relationships/hyperlink" Target="https://login.consultant.ru/link/?req=doc&amp;base=LAW&amp;n=450448&amp;dst=100255&amp;field=134&amp;date=26.09.2023" TargetMode="External"/><Relationship Id="rId16" Type="http://schemas.openxmlformats.org/officeDocument/2006/relationships/hyperlink" Target="https://login.consultant.ru/link/?req=doc&amp;base=LAW&amp;n=450448&amp;dst=100256&amp;field=134&amp;date=26.09.2023" TargetMode="External"/><Relationship Id="rId17" Type="http://schemas.openxmlformats.org/officeDocument/2006/relationships/hyperlink" Target="https://login.consultant.ru/link/?req=doc&amp;base=LAW&amp;n=450448&amp;dst=100255&amp;field=134&amp;date=26.09.2023" TargetMode="External"/><Relationship Id="rId18" Type="http://schemas.openxmlformats.org/officeDocument/2006/relationships/hyperlink" Target="https://login.consultant.ru/link/?req=doc&amp;base=LAW&amp;n=450448&amp;dst=100256&amp;field=134&amp;date=26.09.2023" TargetMode="External"/><Relationship Id="rId19" Type="http://schemas.openxmlformats.org/officeDocument/2006/relationships/hyperlink" Target="https://login.consultant.ru/link/?req=doc&amp;base=LAW&amp;n=450444&amp;date=26.09.2023" TargetMode="External"/><Relationship Id="rId20" Type="http://schemas.openxmlformats.org/officeDocument/2006/relationships/hyperlink" Target="https://login.consultant.ru/link/?req=doc&amp;base=LAW&amp;n=452757&amp;date=26.09.2023" TargetMode="External"/><Relationship Id="rId21" Type="http://schemas.openxmlformats.org/officeDocument/2006/relationships/hyperlink" Target="https://login.consultant.ru/link/?req=doc&amp;base=RLAW926&amp;n=264493&amp;dst=100024&amp;field=134&amp;date=26.09.2023" TargetMode="External"/><Relationship Id="rId22" Type="http://schemas.openxmlformats.org/officeDocument/2006/relationships/hyperlink" Target="https://login.consultant.ru/link/?req=doc&amp;base=LAW&amp;n=433304&amp;date=26.09.202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1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VerbitckayaEV</dc:creator>
  <cp:revision>28</cp:revision>
  <dcterms:created xsi:type="dcterms:W3CDTF">2019-01-23T07:35:00Z</dcterms:created>
  <dcterms:modified xsi:type="dcterms:W3CDTF">2023-09-26T12:32:38Z</dcterms:modified>
  <cp:version>983040</cp:version>
</cp:coreProperties>
</file>