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2B48E8" w:rsidRDefault="002B48E8" w:rsidP="00E82D1B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207D0E">
        <w:rPr>
          <w:spacing w:val="-6"/>
          <w:sz w:val="26"/>
          <w:szCs w:val="26"/>
        </w:rPr>
        <w:t>Развитие транспортной системы</w:t>
      </w:r>
      <w:r w:rsidRPr="00F93E17">
        <w:rPr>
          <w:spacing w:val="-6"/>
          <w:sz w:val="26"/>
          <w:szCs w:val="26"/>
        </w:rPr>
        <w:t xml:space="preserve"> </w:t>
      </w:r>
    </w:p>
    <w:p w:rsidR="002B48E8" w:rsidRPr="00F93E17" w:rsidRDefault="002B48E8" w:rsidP="002B48E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pacing w:val="-6"/>
          <w:sz w:val="26"/>
          <w:szCs w:val="26"/>
        </w:rPr>
        <w:t>город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 xml:space="preserve"> Когалым</w:t>
      </w:r>
      <w:r w:rsidR="00E82D1B">
        <w:rPr>
          <w:spacing w:val="-6"/>
          <w:sz w:val="26"/>
          <w:szCs w:val="26"/>
        </w:rPr>
        <w:t>а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207D0E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 xml:space="preserve">Одобрить </w:t>
      </w:r>
      <w:r w:rsidR="008D4C7F" w:rsidRPr="00207D0E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 w:rsidRPr="00207D0E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07D0E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 w:rsidRPr="00207D0E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207D0E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207D0E" w:rsidRPr="00207D0E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транспортной системы</w:t>
      </w:r>
      <w:r w:rsidRPr="00207D0E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F8089A" w:rsidRPr="00207D0E">
        <w:rPr>
          <w:rFonts w:ascii="Times New Roman" w:hAnsi="Times New Roman" w:cs="Times New Roman"/>
          <w:b w:val="0"/>
          <w:sz w:val="26"/>
          <w:szCs w:val="26"/>
        </w:rPr>
        <w:t>а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F8089A" w:rsidRPr="00207D0E">
        <w:rPr>
          <w:rFonts w:ascii="Times New Roman" w:hAnsi="Times New Roman" w:cs="Times New Roman"/>
          <w:b w:val="0"/>
          <w:sz w:val="26"/>
          <w:szCs w:val="26"/>
        </w:rPr>
        <w:t>а</w:t>
      </w:r>
      <w:r w:rsidRPr="00207D0E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207D0E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207D0E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24004"/>
    <w:rsid w:val="001438BB"/>
    <w:rsid w:val="00171A84"/>
    <w:rsid w:val="001A3A4F"/>
    <w:rsid w:val="001D0927"/>
    <w:rsid w:val="001E328E"/>
    <w:rsid w:val="00201088"/>
    <w:rsid w:val="00207D0E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7489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660C9"/>
    <w:rsid w:val="0098458C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0270E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B6B9E-DDAC-4AC5-8A3C-70C58492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2024-10-03T06:41:00Z</cp:lastPrinted>
  <dcterms:created xsi:type="dcterms:W3CDTF">2024-11-18T06:51:00Z</dcterms:created>
  <dcterms:modified xsi:type="dcterms:W3CDTF">2024-11-18T06:51:00Z</dcterms:modified>
</cp:coreProperties>
</file>