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A5C51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787E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8787E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8787E">
        <w:rPr>
          <w:sz w:val="26"/>
          <w:szCs w:val="26"/>
        </w:rPr>
        <w:t>16</w:t>
      </w:r>
      <w:r>
        <w:rPr>
          <w:sz w:val="26"/>
          <w:szCs w:val="26"/>
        </w:rPr>
        <w:t xml:space="preserve"> № </w:t>
      </w:r>
      <w:r w:rsidR="00D8787E">
        <w:rPr>
          <w:sz w:val="26"/>
          <w:szCs w:val="26"/>
        </w:rPr>
        <w:t>3301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31DEF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166A24">
        <w:rPr>
          <w:sz w:val="26"/>
          <w:szCs w:val="26"/>
        </w:rPr>
        <w:t>й 144 Трудового кодекса Российской Федерации, стать</w:t>
      </w:r>
      <w:r w:rsidR="00CB7D12">
        <w:rPr>
          <w:sz w:val="26"/>
          <w:szCs w:val="26"/>
        </w:rPr>
        <w:t>ё</w:t>
      </w:r>
      <w:r w:rsidR="00166A24">
        <w:rPr>
          <w:sz w:val="26"/>
          <w:szCs w:val="26"/>
        </w:rPr>
        <w:t>й 53 Федерального закона от 06.10.2003 № 131-ФЗ «Об общих принципах организации местного самоуправления в Российской Федерации»,</w:t>
      </w:r>
      <w:r w:rsidR="00874797">
        <w:rPr>
          <w:sz w:val="26"/>
          <w:szCs w:val="26"/>
        </w:rPr>
        <w:t xml:space="preserve"> </w:t>
      </w:r>
      <w:r w:rsidR="006D553F">
        <w:rPr>
          <w:sz w:val="26"/>
          <w:szCs w:val="26"/>
        </w:rPr>
        <w:t>Уставом города Когалыма</w:t>
      </w:r>
      <w:r w:rsidR="00166A24">
        <w:rPr>
          <w:sz w:val="26"/>
          <w:szCs w:val="26"/>
        </w:rPr>
        <w:t>, в целях внедрения технологий бережливого производства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D11C18" w:rsidRDefault="003E0FA3" w:rsidP="00D11C18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CB7D12">
        <w:rPr>
          <w:sz w:val="26"/>
          <w:szCs w:val="26"/>
        </w:rPr>
        <w:t>е</w:t>
      </w:r>
      <w:r>
        <w:rPr>
          <w:sz w:val="26"/>
          <w:szCs w:val="26"/>
        </w:rPr>
        <w:t xml:space="preserve"> Ад</w:t>
      </w:r>
      <w:r w:rsidR="008544DB">
        <w:rPr>
          <w:sz w:val="26"/>
          <w:szCs w:val="26"/>
        </w:rPr>
        <w:t>министрации города Когалыма</w:t>
      </w:r>
      <w:r w:rsidR="00874797">
        <w:rPr>
          <w:sz w:val="26"/>
          <w:szCs w:val="26"/>
        </w:rPr>
        <w:t xml:space="preserve"> </w:t>
      </w:r>
      <w:r w:rsidR="008544DB">
        <w:rPr>
          <w:sz w:val="26"/>
          <w:szCs w:val="26"/>
        </w:rPr>
        <w:t xml:space="preserve">от </w:t>
      </w:r>
      <w:r w:rsidR="00D11C18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11C18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11C18">
        <w:rPr>
          <w:sz w:val="26"/>
          <w:szCs w:val="26"/>
        </w:rPr>
        <w:t>16</w:t>
      </w:r>
      <w:r>
        <w:rPr>
          <w:sz w:val="26"/>
          <w:szCs w:val="26"/>
        </w:rPr>
        <w:t xml:space="preserve"> № </w:t>
      </w:r>
      <w:r w:rsidR="00D11C18">
        <w:rPr>
          <w:sz w:val="26"/>
          <w:szCs w:val="26"/>
        </w:rPr>
        <w:t>3301</w:t>
      </w:r>
      <w:r>
        <w:rPr>
          <w:sz w:val="26"/>
          <w:szCs w:val="26"/>
        </w:rPr>
        <w:t xml:space="preserve"> «О</w:t>
      </w:r>
      <w:r w:rsidR="00D11C18">
        <w:rPr>
          <w:sz w:val="26"/>
          <w:szCs w:val="26"/>
        </w:rPr>
        <w:t>б утверждении Положения об оплате труда и стимулирующих выплатах работников муниципального казённого учреждения «Редакция газеты «Когалымский вестник» (далее – Положение)</w:t>
      </w:r>
      <w:r w:rsidR="00874797">
        <w:rPr>
          <w:sz w:val="26"/>
          <w:szCs w:val="26"/>
        </w:rPr>
        <w:t xml:space="preserve"> </w:t>
      </w:r>
      <w:r w:rsidR="00D11C18">
        <w:rPr>
          <w:sz w:val="26"/>
          <w:szCs w:val="26"/>
        </w:rPr>
        <w:t>внести следующие изменения:</w:t>
      </w:r>
    </w:p>
    <w:p w:rsidR="005E2E23" w:rsidRDefault="005B0097" w:rsidP="00500E8D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2E23">
        <w:rPr>
          <w:rFonts w:ascii="Times New Roman" w:eastAsia="Times New Roman" w:hAnsi="Times New Roman"/>
          <w:sz w:val="26"/>
          <w:szCs w:val="26"/>
          <w:lang w:eastAsia="ru-RU"/>
        </w:rPr>
        <w:t>пункт 8.5 раздела 8 Положения «Порядок оплаты труда руководителя, главного бухгалтера Учреждения» изложить в следующей редакции:</w:t>
      </w:r>
    </w:p>
    <w:p w:rsidR="006822B7" w:rsidRPr="005E2E23" w:rsidRDefault="005B0097" w:rsidP="005E2E23">
      <w:pPr>
        <w:pStyle w:val="a7"/>
        <w:autoSpaceDE w:val="0"/>
        <w:autoSpaceDN w:val="0"/>
        <w:adjustRightInd w:val="0"/>
        <w:spacing w:line="240" w:lineRule="auto"/>
        <w:ind w:left="0" w:firstLine="53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2E23">
        <w:rPr>
          <w:rFonts w:ascii="Times New Roman" w:hAnsi="Times New Roman"/>
          <w:sz w:val="26"/>
          <w:szCs w:val="26"/>
        </w:rPr>
        <w:t>«</w:t>
      </w:r>
      <w:r w:rsidRPr="005E2E23">
        <w:rPr>
          <w:rFonts w:ascii="Times New Roman" w:eastAsia="Times New Roman" w:hAnsi="Times New Roman"/>
          <w:sz w:val="26"/>
          <w:szCs w:val="26"/>
          <w:lang w:eastAsia="ru-RU"/>
        </w:rPr>
        <w:t xml:space="preserve">8.5. </w:t>
      </w:r>
      <w:r w:rsidR="006822B7" w:rsidRPr="005E2E23">
        <w:rPr>
          <w:rFonts w:ascii="Times New Roman" w:eastAsia="Times New Roman" w:hAnsi="Times New Roman"/>
          <w:sz w:val="26"/>
          <w:szCs w:val="26"/>
          <w:lang w:eastAsia="ru-RU"/>
        </w:rPr>
        <w:t>При установлении размера премиальной выплаты по итогам работы за месяц руководителя Учреждения учитываются целевые показатели эффективности деятельности Учреждения и критерии оценки эффективности деятельности руководителя</w:t>
      </w:r>
      <w:r w:rsidR="00E40D15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Учреждения</w:t>
      </w:r>
      <w:r w:rsidR="006822B7" w:rsidRPr="005E2E23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приложением 1 к настоящему постановлению.</w:t>
      </w:r>
    </w:p>
    <w:p w:rsidR="006822B7" w:rsidRDefault="006822B7" w:rsidP="005E2E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822B7">
        <w:rPr>
          <w:sz w:val="26"/>
          <w:szCs w:val="26"/>
        </w:rPr>
        <w:t>Максимальный размер премиальной выплаты по итогам работы за месяц составляет 20 процентов от должностного оклада (оклада).</w:t>
      </w:r>
    </w:p>
    <w:p w:rsidR="006822B7" w:rsidRPr="008D480B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480B">
        <w:rPr>
          <w:sz w:val="26"/>
          <w:szCs w:val="26"/>
        </w:rPr>
        <w:t xml:space="preserve">Руководитель Учреждения в крайний рабочий день месяца </w:t>
      </w:r>
      <w:r w:rsidR="005D1964" w:rsidRPr="008D480B">
        <w:rPr>
          <w:sz w:val="26"/>
          <w:szCs w:val="26"/>
        </w:rPr>
        <w:t xml:space="preserve">предоставляет </w:t>
      </w:r>
      <w:r w:rsidRPr="008D480B">
        <w:rPr>
          <w:sz w:val="26"/>
          <w:szCs w:val="26"/>
        </w:rPr>
        <w:t xml:space="preserve">Учредителю отчет о выполнении целевых показателей эффективности деятельности Учреждения и критериев </w:t>
      </w:r>
      <w:r w:rsidR="00A325D6" w:rsidRPr="008D480B">
        <w:rPr>
          <w:sz w:val="26"/>
          <w:szCs w:val="26"/>
        </w:rPr>
        <w:t xml:space="preserve">оценки эффективности </w:t>
      </w:r>
      <w:r w:rsidRPr="008D480B">
        <w:rPr>
          <w:sz w:val="26"/>
          <w:szCs w:val="26"/>
        </w:rPr>
        <w:t>деятельности руководителя</w:t>
      </w:r>
      <w:r w:rsidR="00AE050F" w:rsidRPr="008D480B">
        <w:rPr>
          <w:sz w:val="26"/>
          <w:szCs w:val="26"/>
        </w:rPr>
        <w:t xml:space="preserve"> (далее – отчет</w:t>
      </w:r>
      <w:r w:rsidR="00032375">
        <w:rPr>
          <w:sz w:val="26"/>
          <w:szCs w:val="26"/>
        </w:rPr>
        <w:t xml:space="preserve"> руководителя</w:t>
      </w:r>
      <w:r w:rsidR="00AE050F" w:rsidRPr="008D480B">
        <w:rPr>
          <w:sz w:val="26"/>
          <w:szCs w:val="26"/>
        </w:rPr>
        <w:t>)</w:t>
      </w:r>
      <w:r w:rsidRPr="008D480B">
        <w:rPr>
          <w:sz w:val="26"/>
          <w:szCs w:val="26"/>
        </w:rPr>
        <w:t xml:space="preserve"> в соответствии </w:t>
      </w:r>
      <w:r w:rsidRPr="00032375">
        <w:rPr>
          <w:sz w:val="26"/>
          <w:szCs w:val="26"/>
        </w:rPr>
        <w:t>с приложени</w:t>
      </w:r>
      <w:r w:rsidR="008A51A9" w:rsidRPr="00032375">
        <w:rPr>
          <w:sz w:val="26"/>
          <w:szCs w:val="26"/>
        </w:rPr>
        <w:t xml:space="preserve">ем 2 </w:t>
      </w:r>
      <w:r w:rsidR="008A51A9" w:rsidRPr="008D480B">
        <w:rPr>
          <w:sz w:val="26"/>
          <w:szCs w:val="26"/>
        </w:rPr>
        <w:t xml:space="preserve">к настоящему постановлению, посредством системы </w:t>
      </w:r>
      <w:r w:rsidR="005E2E23" w:rsidRPr="008D480B">
        <w:rPr>
          <w:sz w:val="26"/>
          <w:szCs w:val="26"/>
        </w:rPr>
        <w:t xml:space="preserve">электронного документооборота </w:t>
      </w:r>
      <w:r w:rsidR="008A51A9" w:rsidRPr="008D480B">
        <w:rPr>
          <w:sz w:val="26"/>
          <w:szCs w:val="26"/>
        </w:rPr>
        <w:t>«Дело»</w:t>
      </w:r>
      <w:r w:rsidR="008446EA" w:rsidRPr="008D480B">
        <w:rPr>
          <w:sz w:val="26"/>
          <w:szCs w:val="26"/>
        </w:rPr>
        <w:t xml:space="preserve">, согласованный ответственными </w:t>
      </w:r>
      <w:r w:rsidR="008D480B" w:rsidRPr="008D480B">
        <w:rPr>
          <w:sz w:val="26"/>
          <w:szCs w:val="26"/>
        </w:rPr>
        <w:t xml:space="preserve">лицами </w:t>
      </w:r>
      <w:r w:rsidR="008446EA" w:rsidRPr="008D480B">
        <w:rPr>
          <w:sz w:val="26"/>
          <w:szCs w:val="26"/>
        </w:rPr>
        <w:t>за оценку эффективности деятельности Учреждения.</w:t>
      </w:r>
    </w:p>
    <w:p w:rsidR="006822B7" w:rsidRPr="008D480B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480B">
        <w:rPr>
          <w:sz w:val="26"/>
          <w:szCs w:val="26"/>
        </w:rPr>
        <w:t xml:space="preserve">При </w:t>
      </w:r>
      <w:r w:rsidR="008D480B" w:rsidRPr="008D480B">
        <w:rPr>
          <w:sz w:val="26"/>
          <w:szCs w:val="26"/>
        </w:rPr>
        <w:t>не предоставлении</w:t>
      </w:r>
      <w:r w:rsidRPr="008D480B">
        <w:rPr>
          <w:sz w:val="26"/>
          <w:szCs w:val="26"/>
        </w:rPr>
        <w:t xml:space="preserve"> в установленный срок или пред</w:t>
      </w:r>
      <w:r w:rsidR="008D480B" w:rsidRPr="008D480B">
        <w:rPr>
          <w:sz w:val="26"/>
          <w:szCs w:val="26"/>
        </w:rPr>
        <w:t>о</w:t>
      </w:r>
      <w:r w:rsidRPr="008D480B">
        <w:rPr>
          <w:sz w:val="26"/>
          <w:szCs w:val="26"/>
        </w:rPr>
        <w:t>ставлении с нарушением установленного по</w:t>
      </w:r>
      <w:r w:rsidR="00E40D15">
        <w:rPr>
          <w:sz w:val="26"/>
          <w:szCs w:val="26"/>
        </w:rPr>
        <w:t>рядка премирования руководителя Учреждения</w:t>
      </w:r>
      <w:r w:rsidR="0038569D">
        <w:rPr>
          <w:sz w:val="26"/>
          <w:szCs w:val="26"/>
        </w:rPr>
        <w:t>,</w:t>
      </w:r>
      <w:r w:rsidRPr="008D480B">
        <w:rPr>
          <w:sz w:val="26"/>
          <w:szCs w:val="26"/>
        </w:rPr>
        <w:t xml:space="preserve"> целевые показатели эффективности </w:t>
      </w:r>
      <w:r w:rsidR="00A325D6" w:rsidRPr="008D480B">
        <w:rPr>
          <w:sz w:val="26"/>
          <w:szCs w:val="26"/>
        </w:rPr>
        <w:t>деятельности</w:t>
      </w:r>
      <w:r w:rsidRPr="008D480B">
        <w:rPr>
          <w:sz w:val="26"/>
          <w:szCs w:val="26"/>
        </w:rPr>
        <w:t xml:space="preserve"> Учреждения </w:t>
      </w:r>
      <w:r w:rsidR="0038569D">
        <w:rPr>
          <w:sz w:val="26"/>
          <w:szCs w:val="26"/>
        </w:rPr>
        <w:t xml:space="preserve">и критерии оценки эффективности деятельности руководителя Учреждения </w:t>
      </w:r>
      <w:r w:rsidRPr="008D480B">
        <w:rPr>
          <w:sz w:val="26"/>
          <w:szCs w:val="26"/>
        </w:rPr>
        <w:t>считаются невыполненными.</w:t>
      </w:r>
    </w:p>
    <w:p w:rsidR="006822B7" w:rsidRPr="008D480B" w:rsidRDefault="00A325D6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480B">
        <w:rPr>
          <w:sz w:val="26"/>
          <w:szCs w:val="26"/>
        </w:rPr>
        <w:t xml:space="preserve">По результатам оценки эффективности деятельности Учреждения, </w:t>
      </w:r>
      <w:r w:rsidR="00500E8D">
        <w:rPr>
          <w:sz w:val="26"/>
          <w:szCs w:val="26"/>
        </w:rPr>
        <w:t>ответственное лицо</w:t>
      </w:r>
      <w:r w:rsidR="006822B7" w:rsidRPr="008D480B">
        <w:rPr>
          <w:sz w:val="26"/>
          <w:szCs w:val="26"/>
        </w:rPr>
        <w:t>, координирующее деятельность Учреждения</w:t>
      </w:r>
      <w:r w:rsidR="001403B0">
        <w:rPr>
          <w:sz w:val="26"/>
          <w:szCs w:val="26"/>
        </w:rPr>
        <w:t>,</w:t>
      </w:r>
      <w:r w:rsidR="006822B7" w:rsidRPr="008D480B">
        <w:rPr>
          <w:sz w:val="26"/>
          <w:szCs w:val="26"/>
        </w:rPr>
        <w:t xml:space="preserve"> готовит ходатайство</w:t>
      </w:r>
      <w:r w:rsidR="00AE050F" w:rsidRPr="008D480B">
        <w:rPr>
          <w:sz w:val="26"/>
          <w:szCs w:val="26"/>
        </w:rPr>
        <w:t xml:space="preserve"> с приложением отчета</w:t>
      </w:r>
      <w:r w:rsidR="00CB7D12">
        <w:rPr>
          <w:sz w:val="26"/>
          <w:szCs w:val="26"/>
        </w:rPr>
        <w:t xml:space="preserve"> руководителя</w:t>
      </w:r>
      <w:r w:rsidR="00AE050F" w:rsidRPr="008D480B">
        <w:rPr>
          <w:sz w:val="26"/>
          <w:szCs w:val="26"/>
        </w:rPr>
        <w:t xml:space="preserve"> </w:t>
      </w:r>
      <w:r w:rsidR="006822B7" w:rsidRPr="008D480B">
        <w:rPr>
          <w:sz w:val="26"/>
          <w:szCs w:val="26"/>
        </w:rPr>
        <w:t>на главу города Когалыма о выплате премии.</w:t>
      </w:r>
    </w:p>
    <w:p w:rsidR="006822B7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480B">
        <w:rPr>
          <w:sz w:val="26"/>
          <w:szCs w:val="26"/>
        </w:rPr>
        <w:lastRenderedPageBreak/>
        <w:t>Основанием для выплаты</w:t>
      </w:r>
      <w:r w:rsidR="008D480B" w:rsidRPr="008D480B">
        <w:rPr>
          <w:sz w:val="26"/>
          <w:szCs w:val="26"/>
        </w:rPr>
        <w:t xml:space="preserve"> премии</w:t>
      </w:r>
      <w:r w:rsidRPr="008D480B">
        <w:rPr>
          <w:sz w:val="26"/>
          <w:szCs w:val="26"/>
        </w:rPr>
        <w:t xml:space="preserve"> по итогам работы за месяц руководител</w:t>
      </w:r>
      <w:r w:rsidR="007A3E59">
        <w:rPr>
          <w:sz w:val="26"/>
          <w:szCs w:val="26"/>
        </w:rPr>
        <w:t>ю</w:t>
      </w:r>
      <w:r w:rsidRPr="008D480B">
        <w:rPr>
          <w:sz w:val="26"/>
          <w:szCs w:val="26"/>
        </w:rPr>
        <w:t xml:space="preserve"> Учреждения является распоряжение Администрации города Когалыма, которое </w:t>
      </w:r>
      <w:r w:rsidR="00981C8F">
        <w:rPr>
          <w:sz w:val="26"/>
          <w:szCs w:val="26"/>
        </w:rPr>
        <w:t>готовит У</w:t>
      </w:r>
      <w:r w:rsidRPr="008D480B">
        <w:rPr>
          <w:sz w:val="26"/>
          <w:szCs w:val="26"/>
        </w:rPr>
        <w:t>правление по общим вопросам Администрации города Когалыма.</w:t>
      </w:r>
    </w:p>
    <w:p w:rsidR="006822B7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822B7">
        <w:rPr>
          <w:sz w:val="26"/>
          <w:szCs w:val="26"/>
        </w:rPr>
        <w:t>При сумме баллов, соответствующей выполнению всех показателей, размер премии руководителя Учреждения за отчетный период равен 100 процентам от установленного размера премии. При начислении более низкой с</w:t>
      </w:r>
      <w:r w:rsidR="007A3E59">
        <w:rPr>
          <w:sz w:val="26"/>
          <w:szCs w:val="26"/>
        </w:rPr>
        <w:t>уммы баллов, премия руководителю</w:t>
      </w:r>
      <w:r w:rsidRPr="006822B7">
        <w:rPr>
          <w:sz w:val="26"/>
          <w:szCs w:val="26"/>
        </w:rPr>
        <w:t xml:space="preserve"> Учреждения снижается пропорционально баллам.</w:t>
      </w:r>
    </w:p>
    <w:p w:rsidR="006822B7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822B7">
        <w:rPr>
          <w:sz w:val="26"/>
          <w:szCs w:val="26"/>
        </w:rPr>
        <w:t xml:space="preserve">В случае депремирования руководителя Учреждения в предыдущем периоде за невыполнение целевых показателей эффективности </w:t>
      </w:r>
      <w:r w:rsidR="00BB6FF9">
        <w:rPr>
          <w:sz w:val="26"/>
          <w:szCs w:val="26"/>
        </w:rPr>
        <w:t>деятельности</w:t>
      </w:r>
      <w:r w:rsidRPr="006822B7">
        <w:rPr>
          <w:sz w:val="26"/>
          <w:szCs w:val="26"/>
        </w:rPr>
        <w:t xml:space="preserve"> Учреждения</w:t>
      </w:r>
      <w:r w:rsidR="00CD331F">
        <w:rPr>
          <w:sz w:val="26"/>
          <w:szCs w:val="26"/>
        </w:rPr>
        <w:t xml:space="preserve"> и критериев оценки эффективности деятельности руководителя</w:t>
      </w:r>
      <w:r w:rsidR="0038569D">
        <w:rPr>
          <w:sz w:val="26"/>
          <w:szCs w:val="26"/>
        </w:rPr>
        <w:t xml:space="preserve"> Учреждения</w:t>
      </w:r>
      <w:r w:rsidRPr="006822B7">
        <w:rPr>
          <w:sz w:val="26"/>
          <w:szCs w:val="26"/>
        </w:rPr>
        <w:t>, при условии выполнения им мероприятий по устранению выявленных нарушений в отчетном периоде для достижения положительных результатов по принятым мерам, с предоставлением подтверждающих документов, снижение баллов в отчетном периоде не осуществляется.</w:t>
      </w:r>
    </w:p>
    <w:p w:rsidR="006822B7" w:rsidRPr="00032375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2375">
        <w:rPr>
          <w:sz w:val="26"/>
          <w:szCs w:val="26"/>
        </w:rPr>
        <w:t xml:space="preserve">Отчет </w:t>
      </w:r>
      <w:r w:rsidR="005E2E23" w:rsidRPr="00032375">
        <w:rPr>
          <w:sz w:val="26"/>
          <w:szCs w:val="26"/>
        </w:rPr>
        <w:t>руководителя</w:t>
      </w:r>
      <w:r w:rsidRPr="00032375">
        <w:rPr>
          <w:sz w:val="26"/>
          <w:szCs w:val="26"/>
        </w:rPr>
        <w:t xml:space="preserve"> для премирования за декабрь месяц предоставляется Учредителю до 15 декабря текущего финансового года.</w:t>
      </w:r>
    </w:p>
    <w:p w:rsidR="006822B7" w:rsidRDefault="006822B7" w:rsidP="006822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822B7">
        <w:rPr>
          <w:sz w:val="26"/>
          <w:szCs w:val="26"/>
        </w:rPr>
        <w:t>Лишение премиальной выплаты по итогам работы за месяц производится в случае применения к руководителю Учреждения дисциплинарного взыскания.</w:t>
      </w:r>
    </w:p>
    <w:p w:rsidR="005E2E23" w:rsidRDefault="006822B7" w:rsidP="005E2E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822B7">
        <w:rPr>
          <w:sz w:val="26"/>
          <w:szCs w:val="26"/>
        </w:rPr>
        <w:t>Лишение премиальной выплаты производится в том расчетном периоде, в котором к руководителю были применены дисциплинарные взыскания.</w:t>
      </w:r>
    </w:p>
    <w:p w:rsidR="00A325D6" w:rsidRPr="008A51A9" w:rsidRDefault="00A325D6" w:rsidP="005E2E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A51A9">
        <w:rPr>
          <w:sz w:val="26"/>
          <w:szCs w:val="26"/>
        </w:rPr>
        <w:t>Снижение размера премиальной выплаты не должно приводить к уменьшению размера месячной заработной платы работника более чем на 20 процентов.».</w:t>
      </w:r>
    </w:p>
    <w:bookmarkStart w:id="0" w:name="_GoBack"/>
    <w:bookmarkEnd w:id="0"/>
    <w:p w:rsidR="007331E0" w:rsidRPr="000E0C39" w:rsidRDefault="000E0C39" w:rsidP="000E0C39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</w:rPr>
      </w:pPr>
      <w:r>
        <w:fldChar w:fldCharType="begin"/>
      </w:r>
      <w:r>
        <w:instrText xml:space="preserve"> HYPERLINK "https://</w:instrText>
      </w:r>
      <w:r>
        <w:instrText xml:space="preserve">login.consultant.ru/link/?req=doc&amp;base=RLAW926&amp;n=146865&amp;dst=100255" </w:instrText>
      </w:r>
      <w:r>
        <w:fldChar w:fldCharType="separate"/>
      </w:r>
      <w:r w:rsidR="00B50E98" w:rsidRPr="000E0C39">
        <w:rPr>
          <w:rFonts w:ascii="Times New Roman" w:hAnsi="Times New Roman"/>
          <w:sz w:val="26"/>
          <w:szCs w:val="26"/>
        </w:rPr>
        <w:t>п</w:t>
      </w:r>
      <w:r w:rsidR="007331E0" w:rsidRPr="000E0C39">
        <w:rPr>
          <w:rFonts w:ascii="Times New Roman" w:hAnsi="Times New Roman"/>
          <w:sz w:val="26"/>
          <w:szCs w:val="26"/>
        </w:rPr>
        <w:t>риложения 1</w:t>
      </w:r>
      <w:r w:rsidRPr="000E0C39">
        <w:rPr>
          <w:rFonts w:ascii="Times New Roman" w:hAnsi="Times New Roman"/>
          <w:sz w:val="26"/>
          <w:szCs w:val="26"/>
        </w:rPr>
        <w:fldChar w:fldCharType="end"/>
      </w:r>
      <w:r w:rsidR="007331E0" w:rsidRPr="000E0C39">
        <w:rPr>
          <w:rFonts w:ascii="Times New Roman" w:hAnsi="Times New Roman"/>
          <w:sz w:val="26"/>
          <w:szCs w:val="26"/>
        </w:rPr>
        <w:t xml:space="preserve"> и </w:t>
      </w:r>
      <w:hyperlink r:id="rId7" w:history="1">
        <w:r w:rsidR="007331E0" w:rsidRPr="000E0C39">
          <w:rPr>
            <w:rFonts w:ascii="Times New Roman" w:hAnsi="Times New Roman"/>
            <w:sz w:val="26"/>
            <w:szCs w:val="26"/>
          </w:rPr>
          <w:t>2</w:t>
        </w:r>
      </w:hyperlink>
      <w:r w:rsidR="007331E0" w:rsidRPr="000E0C39">
        <w:rPr>
          <w:rFonts w:ascii="Times New Roman" w:hAnsi="Times New Roman"/>
          <w:sz w:val="26"/>
          <w:szCs w:val="26"/>
        </w:rPr>
        <w:t xml:space="preserve"> к Положению изложить в редакции согласно </w:t>
      </w:r>
      <w:hyperlink r:id="rId8" w:history="1">
        <w:r w:rsidR="007331E0" w:rsidRPr="000E0C39">
          <w:rPr>
            <w:rFonts w:ascii="Times New Roman" w:hAnsi="Times New Roman"/>
            <w:sz w:val="26"/>
            <w:szCs w:val="26"/>
          </w:rPr>
          <w:t>приложениям 1</w:t>
        </w:r>
      </w:hyperlink>
      <w:r w:rsidR="007331E0" w:rsidRPr="000E0C39">
        <w:rPr>
          <w:rFonts w:ascii="Times New Roman" w:hAnsi="Times New Roman"/>
          <w:sz w:val="26"/>
          <w:szCs w:val="26"/>
        </w:rPr>
        <w:t xml:space="preserve"> и </w:t>
      </w:r>
      <w:hyperlink r:id="rId9" w:history="1">
        <w:r w:rsidR="007331E0" w:rsidRPr="000E0C39">
          <w:rPr>
            <w:rFonts w:ascii="Times New Roman" w:hAnsi="Times New Roman"/>
            <w:sz w:val="26"/>
            <w:szCs w:val="26"/>
          </w:rPr>
          <w:t>2</w:t>
        </w:r>
      </w:hyperlink>
      <w:r w:rsidR="007331E0" w:rsidRPr="000E0C39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5E2E23" w:rsidRPr="005E2E23" w:rsidRDefault="005E2E23" w:rsidP="005E2E23">
      <w:pPr>
        <w:pStyle w:val="a7"/>
        <w:autoSpaceDE w:val="0"/>
        <w:autoSpaceDN w:val="0"/>
        <w:adjustRightInd w:val="0"/>
        <w:spacing w:line="240" w:lineRule="auto"/>
        <w:ind w:left="1080"/>
        <w:rPr>
          <w:rFonts w:ascii="Times New Roman" w:hAnsi="Times New Roman"/>
          <w:sz w:val="26"/>
          <w:szCs w:val="26"/>
        </w:rPr>
      </w:pPr>
    </w:p>
    <w:p w:rsidR="00611FC3" w:rsidRPr="005E2E23" w:rsidRDefault="00611FC3" w:rsidP="000E0C39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/>
          <w:sz w:val="26"/>
          <w:szCs w:val="26"/>
        </w:rPr>
      </w:pPr>
      <w:r w:rsidRPr="005E2E23">
        <w:rPr>
          <w:rFonts w:ascii="Times New Roman" w:hAnsi="Times New Roman"/>
          <w:sz w:val="26"/>
          <w:szCs w:val="26"/>
        </w:rPr>
        <w:t>Признать утратившим силу:</w:t>
      </w:r>
    </w:p>
    <w:p w:rsidR="00614AA9" w:rsidRDefault="008A51A9" w:rsidP="00C45032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14AA9">
        <w:rPr>
          <w:rFonts w:ascii="Times New Roman" w:eastAsia="Times New Roman" w:hAnsi="Times New Roman"/>
          <w:sz w:val="26"/>
          <w:szCs w:val="26"/>
          <w:lang w:eastAsia="ru-RU"/>
        </w:rPr>
        <w:t>остановление Администрации города Когалыма от 06.0</w:t>
      </w:r>
      <w:r w:rsidR="00D07D4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614AA9">
        <w:rPr>
          <w:rFonts w:ascii="Times New Roman" w:eastAsia="Times New Roman" w:hAnsi="Times New Roman"/>
          <w:sz w:val="26"/>
          <w:szCs w:val="26"/>
          <w:lang w:eastAsia="ru-RU"/>
        </w:rPr>
        <w:t>.2017 № 695 «О внесении изменений в постановление Администрации города Когалыма от 29.12.2016 № 3301»;</w:t>
      </w:r>
    </w:p>
    <w:p w:rsidR="00611FC3" w:rsidRDefault="00611FC3" w:rsidP="00C45032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подпункт 1.4 </w:t>
      </w:r>
      <w:r w:rsidR="00614AA9">
        <w:rPr>
          <w:rFonts w:ascii="Times New Roman" w:eastAsia="Times New Roman" w:hAnsi="Times New Roman"/>
          <w:sz w:val="26"/>
          <w:szCs w:val="26"/>
          <w:lang w:eastAsia="ru-RU"/>
        </w:rPr>
        <w:t>пункта 1 постановления Администрации города Когалыма от 27.10.23 №2131 «О внесении изменений в постановление Администрации города Когалыма от 29.12.2016 «3301».</w:t>
      </w:r>
    </w:p>
    <w:p w:rsidR="00E7022B" w:rsidRDefault="00E7022B" w:rsidP="00E7022B">
      <w:pPr>
        <w:pStyle w:val="a7"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022B" w:rsidRPr="007331E0" w:rsidRDefault="00E7022B" w:rsidP="00E7022B">
      <w:pPr>
        <w:pStyle w:val="a7"/>
        <w:numPr>
          <w:ilvl w:val="0"/>
          <w:numId w:val="8"/>
        </w:numPr>
        <w:autoSpaceDE w:val="0"/>
        <w:autoSpaceDN w:val="0"/>
        <w:adjustRightInd w:val="0"/>
        <w:ind w:firstLine="17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01.09.2025.</w:t>
      </w:r>
    </w:p>
    <w:p w:rsidR="00A325D6" w:rsidRPr="007331E0" w:rsidRDefault="00A325D6" w:rsidP="007331E0">
      <w:pPr>
        <w:pStyle w:val="a7"/>
        <w:ind w:left="1080"/>
        <w:rPr>
          <w:sz w:val="26"/>
          <w:szCs w:val="26"/>
        </w:rPr>
      </w:pPr>
    </w:p>
    <w:p w:rsidR="006D553F" w:rsidRPr="002A1C5A" w:rsidRDefault="003D2CC2" w:rsidP="00C45032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2A1C5A">
      <w:pPr>
        <w:tabs>
          <w:tab w:val="left" w:pos="1134"/>
        </w:tabs>
        <w:rPr>
          <w:spacing w:val="-6"/>
          <w:sz w:val="26"/>
          <w:szCs w:val="26"/>
        </w:rPr>
      </w:pPr>
    </w:p>
    <w:p w:rsidR="003D2CC2" w:rsidRPr="002A1C5A" w:rsidRDefault="003D2CC2" w:rsidP="00C45032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, ЭЛ. № ФС 77 – 85332 от 15.05.2023 и </w:t>
      </w:r>
      <w:r w:rsidRPr="002A1C5A">
        <w:rPr>
          <w:rFonts w:ascii="Times New Roman" w:hAnsi="Times New Roman"/>
          <w:spacing w:val="-6"/>
          <w:sz w:val="26"/>
          <w:szCs w:val="26"/>
        </w:rPr>
        <w:lastRenderedPageBreak/>
        <w:t>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2A1C5A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2A1C5A" w:rsidRDefault="00B22DDA" w:rsidP="004252D8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6D553F" w:rsidRPr="002A1C5A">
        <w:rPr>
          <w:rFonts w:ascii="Times New Roman" w:hAnsi="Times New Roman"/>
          <w:spacing w:val="-6"/>
          <w:sz w:val="26"/>
          <w:szCs w:val="26"/>
        </w:rPr>
        <w:t>Черных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Т.И.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4797" w:rsidRDefault="0087479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2A1C5A" w:rsidRDefault="00D5489C" w:rsidP="002A1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  <w:sectPr w:rsidR="007331E0" w:rsidSect="007331E0">
          <w:pgSz w:w="11906" w:h="16838"/>
          <w:pgMar w:top="993" w:right="567" w:bottom="0" w:left="2552" w:header="709" w:footer="709" w:gutter="0"/>
          <w:cols w:space="708"/>
          <w:docGrid w:linePitch="360"/>
        </w:sectPr>
      </w:pP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Приложение 1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BB3305" w:rsidRDefault="00BB3305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p w:rsidR="005C24DF" w:rsidRDefault="007331E0" w:rsidP="007331E0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Целевые показатели</w:t>
      </w:r>
      <w:r w:rsidRPr="00B5400F">
        <w:rPr>
          <w:snapToGrid w:val="0"/>
          <w:sz w:val="26"/>
          <w:szCs w:val="26"/>
        </w:rPr>
        <w:t xml:space="preserve"> эффективности </w:t>
      </w:r>
      <w:r w:rsidR="00B92A14">
        <w:rPr>
          <w:snapToGrid w:val="0"/>
          <w:sz w:val="26"/>
          <w:szCs w:val="26"/>
        </w:rPr>
        <w:t>деятельности</w:t>
      </w:r>
      <w:r w:rsidRPr="00B5400F">
        <w:rPr>
          <w:snapToGrid w:val="0"/>
          <w:sz w:val="26"/>
          <w:szCs w:val="26"/>
        </w:rPr>
        <w:t xml:space="preserve"> </w:t>
      </w:r>
      <w:r w:rsidR="005C24DF">
        <w:rPr>
          <w:snapToGrid w:val="0"/>
          <w:sz w:val="26"/>
          <w:szCs w:val="26"/>
        </w:rPr>
        <w:t>Учреждения</w:t>
      </w:r>
    </w:p>
    <w:p w:rsidR="007331E0" w:rsidRDefault="007331E0" w:rsidP="007331E0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 w:rsidRPr="00B5400F">
        <w:rPr>
          <w:snapToGrid w:val="0"/>
          <w:sz w:val="26"/>
          <w:szCs w:val="26"/>
        </w:rPr>
        <w:t>и критери</w:t>
      </w:r>
      <w:r w:rsidR="00FD1ABF">
        <w:rPr>
          <w:snapToGrid w:val="0"/>
          <w:sz w:val="26"/>
          <w:szCs w:val="26"/>
        </w:rPr>
        <w:t>и</w:t>
      </w:r>
      <w:r w:rsidRPr="00B5400F">
        <w:rPr>
          <w:snapToGrid w:val="0"/>
          <w:sz w:val="26"/>
          <w:szCs w:val="26"/>
        </w:rPr>
        <w:t xml:space="preserve"> оценки эффективности деятельности руководителя</w:t>
      </w:r>
    </w:p>
    <w:p w:rsidR="005C24DF" w:rsidRPr="00B5400F" w:rsidRDefault="005C24DF" w:rsidP="007331E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424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2563"/>
        <w:gridCol w:w="1702"/>
        <w:gridCol w:w="2979"/>
        <w:gridCol w:w="2837"/>
        <w:gridCol w:w="2829"/>
      </w:tblGrid>
      <w:tr w:rsidR="00F21879" w:rsidRPr="00B5400F" w:rsidTr="00F21879">
        <w:trPr>
          <w:trHeight w:val="207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00F">
              <w:rPr>
                <w:rFonts w:eastAsia="Calibri"/>
              </w:rPr>
              <w:t>№ п/п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оценки эффективности деятельности руководителя учреждения в баллах (максимально возможное значение)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DF" w:rsidRPr="00B5400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5C24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Периодичность предоставления отчетов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C24DF" w:rsidRDefault="005C24DF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214B28" w:rsidRPr="00B5400F" w:rsidTr="00F21879">
        <w:trPr>
          <w:trHeight w:val="567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28" w:rsidRPr="00B5400F" w:rsidRDefault="00214B28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00F">
              <w:rPr>
                <w:rFonts w:eastAsia="Calibri"/>
              </w:rPr>
              <w:t>1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28" w:rsidRPr="00B5400F" w:rsidRDefault="0021051D" w:rsidP="005C24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Выполнение функций установленных Уставом казённых учреждений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Pr="00AB3D5D" w:rsidRDefault="00214B28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  <w:p w:rsidR="00214B28" w:rsidRPr="00AB3D5D" w:rsidRDefault="00214B28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28" w:rsidRPr="00B5400F" w:rsidRDefault="00B92A14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Отчет о выполнении целевых показателей эффективности деятельности Учреждения</w:t>
            </w:r>
            <w:r w:rsidR="00611DB3">
              <w:rPr>
                <w:rFonts w:eastAsia="Calibri"/>
              </w:rPr>
              <w:t xml:space="preserve"> и критериев оценки </w:t>
            </w:r>
            <w:r w:rsidR="00611DB3">
              <w:rPr>
                <w:lang w:eastAsia="ar-SA"/>
              </w:rPr>
              <w:t xml:space="preserve">эффективности деятельности </w:t>
            </w:r>
            <w:r w:rsidR="00611DB3"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28" w:rsidRPr="00B5400F" w:rsidRDefault="00214B28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28" w:rsidRPr="00B5400F" w:rsidRDefault="00214B28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214B28" w:rsidRPr="00B5400F" w:rsidTr="00F21879">
        <w:trPr>
          <w:trHeight w:val="737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B28" w:rsidRPr="00B5400F" w:rsidRDefault="00214B28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B28" w:rsidRDefault="00214B28" w:rsidP="005C24D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Default="00214B28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B28" w:rsidRDefault="00214B28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B28" w:rsidRDefault="00214B28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B28" w:rsidRDefault="00214B28" w:rsidP="00263CFA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14B28" w:rsidRPr="00B5400F" w:rsidTr="00F21879">
        <w:trPr>
          <w:trHeight w:val="850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Pr="00B5400F" w:rsidRDefault="00214B28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Default="00214B28" w:rsidP="005C24D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Default="00214B28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Default="00214B28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Default="00214B28" w:rsidP="00214B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8" w:rsidRDefault="00214B28" w:rsidP="00263CFA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92A14" w:rsidRPr="00B5400F" w:rsidTr="00F21879">
        <w:trPr>
          <w:trHeight w:val="130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B5400F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214B28" w:rsidRDefault="00B92A14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>
              <w:rPr>
                <w:rFonts w:eastAsia="Calibri"/>
                <w:lang w:val="en-US"/>
              </w:rPr>
              <w:t>www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bus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gov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ru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B5400F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B92A14" w:rsidRPr="00B5400F" w:rsidTr="00F21879">
        <w:trPr>
          <w:trHeight w:val="153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B92A14" w:rsidRDefault="00B92A14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1051D">
              <w:rPr>
                <w:rFonts w:eastAsia="Calibri"/>
              </w:rPr>
              <w:t xml:space="preserve">Внесение всех поправок от куратора при согласовании макета выпуска газеты, направляемых по электронной почте/Дело </w:t>
            </w:r>
            <w:r w:rsidRPr="0021051D">
              <w:rPr>
                <w:rFonts w:eastAsia="Calibri"/>
                <w:lang w:val="en-US"/>
              </w:rPr>
              <w:t>Web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ED5B0D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Pr="00B5400F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B92A14" w:rsidRPr="00B5400F" w:rsidTr="00F21879">
        <w:trPr>
          <w:trHeight w:val="147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Соблюдение сроков и порядка предоставление, утверждение и ведение бюджетных смет в соответствии с доведенными лимитами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A14" w:rsidRDefault="00B92A14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7D284C" w:rsidRPr="00B5400F" w:rsidTr="00F21879">
        <w:trPr>
          <w:trHeight w:val="624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4C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7D284C" w:rsidRPr="00B5400F" w:rsidTr="00F21879">
        <w:trPr>
          <w:trHeight w:val="680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7D284C" w:rsidRPr="00B5400F" w:rsidTr="00F21879">
        <w:trPr>
          <w:trHeight w:val="170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7D284C" w:rsidP="00B92A1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Наличие или отсутствие в отчетном периоде:</w:t>
            </w:r>
            <w:r w:rsidR="00BB3305">
              <w:rPr>
                <w:rFonts w:eastAsia="Calibri"/>
              </w:rPr>
              <w:t xml:space="preserve">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4C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284C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BB3305" w:rsidRPr="00B5400F" w:rsidTr="00F21879">
        <w:trPr>
          <w:trHeight w:val="170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Default="00BB3305" w:rsidP="00D07D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Отсутствие з</w:t>
            </w:r>
            <w:r w:rsidR="00D07D4F">
              <w:rPr>
                <w:rFonts w:eastAsia="Calibri"/>
              </w:rPr>
              <w:t>адолженности по заработной плате</w:t>
            </w:r>
            <w:r>
              <w:rPr>
                <w:rFonts w:eastAsia="Calibri"/>
              </w:rPr>
              <w:t xml:space="preserve"> и выплатам социального характера в сроки установленные локальными нормативными актами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Default="00611DB3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3305" w:rsidRDefault="00BB3305" w:rsidP="00B92A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BB3305" w:rsidRPr="00B5400F" w:rsidTr="00F21879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05" w:rsidRDefault="00BB3305" w:rsidP="00BB33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Совокупность всех критериев (итого): 100 баллов</w:t>
            </w:r>
          </w:p>
        </w:tc>
      </w:tr>
    </w:tbl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Приложение 2</w:t>
      </w: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F21879" w:rsidRDefault="00F21879" w:rsidP="00F21879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F21879" w:rsidRDefault="00F21879" w:rsidP="00F21879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 отчета</w:t>
      </w:r>
    </w:p>
    <w:p w:rsidR="00F21879" w:rsidRPr="00330095" w:rsidRDefault="00F21879" w:rsidP="00F21879">
      <w:pPr>
        <w:jc w:val="center"/>
        <w:rPr>
          <w:sz w:val="26"/>
          <w:szCs w:val="26"/>
        </w:rPr>
      </w:pPr>
    </w:p>
    <w:p w:rsidR="00F21879" w:rsidRPr="000D60D4" w:rsidRDefault="00F21879" w:rsidP="00F21879">
      <w:pPr>
        <w:tabs>
          <w:tab w:val="left" w:pos="2835"/>
        </w:tabs>
        <w:suppressAutoHyphens/>
        <w:jc w:val="center"/>
        <w:rPr>
          <w:lang w:eastAsia="ar-SA"/>
        </w:rPr>
      </w:pPr>
      <w:r w:rsidRPr="000D60D4">
        <w:rPr>
          <w:lang w:eastAsia="ar-SA"/>
        </w:rPr>
        <w:t>Отчет</w:t>
      </w:r>
    </w:p>
    <w:p w:rsidR="00F21879" w:rsidRDefault="00F21879" w:rsidP="00F21879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 xml:space="preserve">о выполнении целевых показателей эффективности </w:t>
      </w:r>
      <w:r>
        <w:rPr>
          <w:lang w:eastAsia="ar-SA"/>
        </w:rPr>
        <w:t>деятельности</w:t>
      </w:r>
      <w:r w:rsidRPr="000D60D4">
        <w:rPr>
          <w:lang w:eastAsia="ar-SA"/>
        </w:rPr>
        <w:t xml:space="preserve"> Учреждения </w:t>
      </w:r>
    </w:p>
    <w:p w:rsidR="00F21879" w:rsidRPr="000D60D4" w:rsidRDefault="00F21879" w:rsidP="00F21879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 xml:space="preserve">и </w:t>
      </w:r>
      <w:r>
        <w:rPr>
          <w:lang w:eastAsia="ar-SA"/>
        </w:rPr>
        <w:t xml:space="preserve">критериев оценки эффективности деятельности </w:t>
      </w:r>
      <w:r w:rsidRPr="000D60D4">
        <w:rPr>
          <w:lang w:eastAsia="ar-SA"/>
        </w:rPr>
        <w:t xml:space="preserve">руководителя </w:t>
      </w:r>
    </w:p>
    <w:p w:rsidR="00F21879" w:rsidRDefault="00F21879" w:rsidP="00F21879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___________________________________________________________________</w:t>
      </w:r>
    </w:p>
    <w:p w:rsidR="00F21879" w:rsidRPr="00D64CF3" w:rsidRDefault="00F21879" w:rsidP="00F21879">
      <w:pPr>
        <w:suppressAutoHyphens/>
        <w:jc w:val="center"/>
        <w:rPr>
          <w:sz w:val="16"/>
          <w:szCs w:val="16"/>
          <w:lang w:eastAsia="ar-SA"/>
        </w:rPr>
      </w:pPr>
      <w:r w:rsidRPr="00D64CF3">
        <w:rPr>
          <w:sz w:val="16"/>
          <w:szCs w:val="16"/>
          <w:lang w:eastAsia="ar-SA"/>
        </w:rPr>
        <w:t>(наименование учреждения)</w:t>
      </w:r>
    </w:p>
    <w:p w:rsidR="00F21879" w:rsidRDefault="00F21879" w:rsidP="00F21879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___________________________________________________________________</w:t>
      </w:r>
    </w:p>
    <w:p w:rsidR="00F21879" w:rsidRPr="00052E77" w:rsidRDefault="00F21879" w:rsidP="00F21879">
      <w:pPr>
        <w:suppressAutoHyphens/>
        <w:jc w:val="center"/>
        <w:rPr>
          <w:sz w:val="16"/>
          <w:szCs w:val="16"/>
          <w:lang w:eastAsia="ar-SA"/>
        </w:rPr>
      </w:pPr>
      <w:r w:rsidRPr="00052E77">
        <w:rPr>
          <w:sz w:val="16"/>
          <w:szCs w:val="16"/>
          <w:lang w:eastAsia="ar-SA"/>
        </w:rPr>
        <w:t>(Ф.И.О</w:t>
      </w:r>
      <w:r>
        <w:rPr>
          <w:sz w:val="16"/>
          <w:szCs w:val="16"/>
          <w:lang w:eastAsia="ar-SA"/>
        </w:rPr>
        <w:t xml:space="preserve"> руководителя</w:t>
      </w:r>
      <w:r w:rsidRPr="00052E77">
        <w:rPr>
          <w:sz w:val="16"/>
          <w:szCs w:val="16"/>
          <w:lang w:eastAsia="ar-SA"/>
        </w:rPr>
        <w:t>)</w:t>
      </w:r>
    </w:p>
    <w:p w:rsidR="00F21879" w:rsidRPr="000D60D4" w:rsidRDefault="00F21879" w:rsidP="00F21879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>за_</w:t>
      </w:r>
      <w:r w:rsidRPr="000D60D4">
        <w:rPr>
          <w:u w:val="single"/>
          <w:lang w:eastAsia="ar-SA"/>
        </w:rPr>
        <w:t>_____________</w:t>
      </w:r>
      <w:r w:rsidRPr="000D60D4">
        <w:rPr>
          <w:lang w:eastAsia="ar-SA"/>
        </w:rPr>
        <w:t xml:space="preserve"> 20</w:t>
      </w:r>
      <w:r w:rsidRPr="000D60D4">
        <w:rPr>
          <w:u w:val="single"/>
          <w:lang w:eastAsia="ar-SA"/>
        </w:rPr>
        <w:t>__</w:t>
      </w:r>
      <w:r w:rsidRPr="000D60D4">
        <w:rPr>
          <w:lang w:eastAsia="ar-SA"/>
        </w:rPr>
        <w:t xml:space="preserve"> года</w:t>
      </w:r>
    </w:p>
    <w:p w:rsidR="00F21879" w:rsidRPr="00052E77" w:rsidRDefault="00F21879" w:rsidP="00F21879">
      <w:pPr>
        <w:jc w:val="center"/>
        <w:rPr>
          <w:sz w:val="16"/>
          <w:szCs w:val="16"/>
        </w:rPr>
      </w:pPr>
      <w:r w:rsidRPr="00052E77">
        <w:rPr>
          <w:sz w:val="16"/>
          <w:szCs w:val="16"/>
        </w:rPr>
        <w:t>(отчетный период)</w:t>
      </w: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767"/>
        <w:gridCol w:w="1942"/>
        <w:gridCol w:w="3119"/>
        <w:gridCol w:w="1559"/>
        <w:gridCol w:w="1418"/>
        <w:gridCol w:w="1984"/>
        <w:gridCol w:w="2693"/>
      </w:tblGrid>
      <w:tr w:rsidR="006E7D11" w:rsidRPr="00F92533" w:rsidTr="004049CA">
        <w:tc>
          <w:tcPr>
            <w:tcW w:w="531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>
              <w:t>Показатели</w:t>
            </w:r>
          </w:p>
        </w:tc>
        <w:tc>
          <w:tcPr>
            <w:tcW w:w="1942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Источник информации о выполнении показателя</w:t>
            </w:r>
          </w:p>
        </w:tc>
        <w:tc>
          <w:tcPr>
            <w:tcW w:w="3119" w:type="dxa"/>
            <w:vMerge w:val="restart"/>
          </w:tcPr>
          <w:p w:rsidR="006E7D11" w:rsidRPr="00F92533" w:rsidRDefault="006E7D11" w:rsidP="00263CFA">
            <w:pPr>
              <w:jc w:val="center"/>
            </w:pPr>
            <w:r>
              <w:t>Критерии оценки эффективности деятельности руководителя учреждения</w:t>
            </w:r>
          </w:p>
        </w:tc>
        <w:tc>
          <w:tcPr>
            <w:tcW w:w="4961" w:type="dxa"/>
            <w:gridSpan w:val="3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Оценка</w:t>
            </w:r>
          </w:p>
          <w:p w:rsidR="006E7D11" w:rsidRPr="00F92533" w:rsidRDefault="006E7D11" w:rsidP="00263CFA">
            <w:pPr>
              <w:jc w:val="center"/>
            </w:pPr>
            <w:r w:rsidRPr="00F92533">
              <w:t>эффективности деятельности руководителя учреждения</w:t>
            </w:r>
          </w:p>
        </w:tc>
        <w:tc>
          <w:tcPr>
            <w:tcW w:w="2693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 w:rsidRPr="00F92533"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6E7D11" w:rsidRPr="00F92533" w:rsidTr="004049CA">
        <w:tc>
          <w:tcPr>
            <w:tcW w:w="531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42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lang w:eastAsia="ar-SA"/>
              </w:rPr>
            </w:pPr>
          </w:p>
        </w:tc>
        <w:tc>
          <w:tcPr>
            <w:tcW w:w="3119" w:type="dxa"/>
            <w:vMerge/>
          </w:tcPr>
          <w:p w:rsidR="006E7D11" w:rsidRPr="00F92533" w:rsidRDefault="006E7D11" w:rsidP="00263CFA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6E7D11" w:rsidRPr="00F92533" w:rsidRDefault="006E7D11" w:rsidP="00263CF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максимальное</w:t>
            </w:r>
            <w:r w:rsidRPr="00F92533">
              <w:rPr>
                <w:lang w:eastAsia="ar-SA"/>
              </w:rPr>
              <w:t xml:space="preserve"> значение</w:t>
            </w:r>
          </w:p>
          <w:p w:rsidR="006E7D11" w:rsidRPr="00F92533" w:rsidRDefault="006E7D11" w:rsidP="00263CFA">
            <w:pPr>
              <w:jc w:val="center"/>
            </w:pPr>
            <w:r w:rsidRPr="00F92533">
              <w:rPr>
                <w:lang w:eastAsia="ar-SA"/>
              </w:rPr>
              <w:t>показателя</w:t>
            </w:r>
            <w:r>
              <w:rPr>
                <w:lang w:eastAsia="ar-SA"/>
              </w:rPr>
              <w:t>, баллы</w:t>
            </w:r>
          </w:p>
        </w:tc>
        <w:tc>
          <w:tcPr>
            <w:tcW w:w="1418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фактическое значение показателя</w:t>
            </w: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  <w:r w:rsidRPr="00F92533">
              <w:rPr>
                <w:lang w:eastAsia="ar-SA"/>
              </w:rPr>
              <w:t>оценка достижения показателя, баллы</w:t>
            </w:r>
          </w:p>
        </w:tc>
        <w:tc>
          <w:tcPr>
            <w:tcW w:w="2693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</w:tr>
      <w:tr w:rsidR="006E7D11" w:rsidRPr="00F92533" w:rsidTr="004049CA">
        <w:trPr>
          <w:trHeight w:val="1155"/>
        </w:trPr>
        <w:tc>
          <w:tcPr>
            <w:tcW w:w="531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  <w:shd w:val="clear" w:color="auto" w:fill="FFFFFF"/>
              </w:rPr>
            </w:pPr>
            <w:r w:rsidRPr="00F92533"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2767" w:type="dxa"/>
            <w:vMerge w:val="restart"/>
            <w:vAlign w:val="center"/>
          </w:tcPr>
          <w:p w:rsidR="006E7D11" w:rsidRPr="00F92533" w:rsidRDefault="00E23766" w:rsidP="00263CFA">
            <w:pPr>
              <w:jc w:val="center"/>
            </w:pPr>
            <w:r>
              <w:rPr>
                <w:rFonts w:eastAsia="Calibri"/>
              </w:rPr>
              <w:t>Выполнение функций установленных Уставом казённых учреждений</w:t>
            </w:r>
          </w:p>
        </w:tc>
        <w:tc>
          <w:tcPr>
            <w:tcW w:w="1942" w:type="dxa"/>
            <w:vMerge w:val="restart"/>
            <w:vAlign w:val="center"/>
          </w:tcPr>
          <w:p w:rsidR="0021051D" w:rsidRPr="00FD1ABF" w:rsidRDefault="0021051D" w:rsidP="0021051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Соответствие количества выпусков печатной </w:t>
            </w:r>
            <w:r w:rsidRPr="00FD1ABF">
              <w:rPr>
                <w:rFonts w:eastAsia="Calibri"/>
              </w:rPr>
              <w:t>газеты плановым показателям.</w:t>
            </w:r>
          </w:p>
          <w:p w:rsidR="0021051D" w:rsidRDefault="0021051D" w:rsidP="0021051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Обеспечение публикаций и материалов, направленных Учредителем.</w:t>
            </w:r>
          </w:p>
          <w:p w:rsidR="006E7D11" w:rsidRPr="00F92533" w:rsidRDefault="0021051D" w:rsidP="0021051D">
            <w:pPr>
              <w:jc w:val="center"/>
            </w:pPr>
            <w:r>
              <w:rPr>
                <w:rFonts w:eastAsia="Calibri"/>
              </w:rPr>
              <w:t>Размещение НПА и сообщений Учредителя в сетевом издании kogvesti.ru</w:t>
            </w:r>
          </w:p>
        </w:tc>
        <w:tc>
          <w:tcPr>
            <w:tcW w:w="3119" w:type="dxa"/>
          </w:tcPr>
          <w:p w:rsidR="006E7D11" w:rsidRPr="00F92533" w:rsidRDefault="006E7D11" w:rsidP="00263CFA">
            <w:pPr>
              <w:jc w:val="center"/>
            </w:pPr>
            <w:r>
              <w:t>Объём установленных функций выполнен не менее чем на 80%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40</w:t>
            </w:r>
          </w:p>
        </w:tc>
        <w:tc>
          <w:tcPr>
            <w:tcW w:w="1418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в процентах</w:t>
            </w: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6E7D11" w:rsidRPr="00F92533" w:rsidRDefault="006E7D11" w:rsidP="00263CFA">
            <w:pPr>
              <w:jc w:val="center"/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6E7D11" w:rsidRPr="00F92533" w:rsidTr="004049CA">
        <w:trPr>
          <w:trHeight w:val="922"/>
        </w:trPr>
        <w:tc>
          <w:tcPr>
            <w:tcW w:w="531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6E7D11" w:rsidRDefault="006E7D11" w:rsidP="00263CFA">
            <w:pPr>
              <w:jc w:val="center"/>
              <w:rPr>
                <w:rFonts w:eastAsia="Calibri"/>
              </w:rPr>
            </w:pPr>
          </w:p>
        </w:tc>
        <w:tc>
          <w:tcPr>
            <w:tcW w:w="1942" w:type="dxa"/>
            <w:vMerge/>
            <w:vAlign w:val="center"/>
          </w:tcPr>
          <w:p w:rsidR="006E7D11" w:rsidRDefault="006E7D11" w:rsidP="00263CFA">
            <w:pPr>
              <w:jc w:val="center"/>
            </w:pPr>
          </w:p>
        </w:tc>
        <w:tc>
          <w:tcPr>
            <w:tcW w:w="3119" w:type="dxa"/>
          </w:tcPr>
          <w:p w:rsidR="006E7D11" w:rsidRPr="00F92533" w:rsidRDefault="006E7D11" w:rsidP="006E7D11">
            <w:pPr>
              <w:jc w:val="center"/>
            </w:pPr>
            <w:r>
              <w:t>Объём установленных функций составляет от 50% до 80%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30</w:t>
            </w:r>
          </w:p>
        </w:tc>
        <w:tc>
          <w:tcPr>
            <w:tcW w:w="1418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в процентах</w:t>
            </w: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</w:tr>
      <w:tr w:rsidR="006E7D11" w:rsidRPr="00F92533" w:rsidTr="004049CA">
        <w:trPr>
          <w:trHeight w:val="247"/>
        </w:trPr>
        <w:tc>
          <w:tcPr>
            <w:tcW w:w="531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6E7D11" w:rsidRPr="00F92533" w:rsidRDefault="006E7D11" w:rsidP="00263CFA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6E7D11" w:rsidRPr="00F92533" w:rsidRDefault="006E7D11" w:rsidP="00263CFA">
            <w:pPr>
              <w:jc w:val="center"/>
            </w:pPr>
          </w:p>
        </w:tc>
        <w:tc>
          <w:tcPr>
            <w:tcW w:w="3119" w:type="dxa"/>
          </w:tcPr>
          <w:p w:rsidR="006E7D11" w:rsidRPr="00F92533" w:rsidRDefault="006E7D11" w:rsidP="006E7D11">
            <w:pPr>
              <w:jc w:val="center"/>
            </w:pPr>
            <w:r>
              <w:t>Объём установленных функций выполнен менее чем на 50%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в процентах</w:t>
            </w: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</w:tr>
      <w:tr w:rsidR="006E7D11" w:rsidRPr="00F92533" w:rsidTr="004049CA">
        <w:tc>
          <w:tcPr>
            <w:tcW w:w="531" w:type="dxa"/>
            <w:vAlign w:val="center"/>
          </w:tcPr>
          <w:p w:rsidR="006E7D11" w:rsidRPr="00F92533" w:rsidRDefault="006E7D11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lastRenderedPageBreak/>
              <w:t>2.</w:t>
            </w:r>
          </w:p>
        </w:tc>
        <w:tc>
          <w:tcPr>
            <w:tcW w:w="2767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>
              <w:rPr>
                <w:rFonts w:eastAsia="Calibri"/>
                <w:lang w:val="en-US"/>
              </w:rPr>
              <w:t>www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bus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gov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ru</w:t>
            </w:r>
          </w:p>
        </w:tc>
        <w:tc>
          <w:tcPr>
            <w:tcW w:w="1942" w:type="dxa"/>
            <w:vAlign w:val="center"/>
          </w:tcPr>
          <w:p w:rsidR="006E7D11" w:rsidRPr="00F92533" w:rsidRDefault="006E7D11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Официальный сайт учреждения - ежемесячно</w:t>
            </w:r>
          </w:p>
        </w:tc>
        <w:tc>
          <w:tcPr>
            <w:tcW w:w="3119" w:type="dxa"/>
            <w:vAlign w:val="center"/>
          </w:tcPr>
          <w:p w:rsidR="006E7D11" w:rsidRPr="00F92533" w:rsidRDefault="006E7D11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Обеспечение регистрации и размещение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1559" w:type="dxa"/>
            <w:vAlign w:val="center"/>
          </w:tcPr>
          <w:p w:rsidR="006E7D11" w:rsidRPr="00F92533" w:rsidRDefault="006E7D11" w:rsidP="00263CFA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  <w:r>
              <w:rPr>
                <w:bCs/>
              </w:rPr>
              <w:t>размещено/не размещено</w:t>
            </w: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6E7D11" w:rsidRPr="00F92533" w:rsidRDefault="00205591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6E7D11" w:rsidRPr="00F92533" w:rsidTr="004049CA">
        <w:tc>
          <w:tcPr>
            <w:tcW w:w="531" w:type="dxa"/>
            <w:vAlign w:val="center"/>
          </w:tcPr>
          <w:p w:rsidR="006E7D11" w:rsidRPr="00F92533" w:rsidRDefault="006E7D11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3.</w:t>
            </w:r>
          </w:p>
        </w:tc>
        <w:tc>
          <w:tcPr>
            <w:tcW w:w="2767" w:type="dxa"/>
            <w:vAlign w:val="center"/>
          </w:tcPr>
          <w:p w:rsidR="006E7D11" w:rsidRPr="004252D8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  <w:highlight w:val="lightGray"/>
              </w:rPr>
            </w:pPr>
            <w:r w:rsidRPr="00563B42">
              <w:rPr>
                <w:rFonts w:eastAsia="Calibri"/>
              </w:rPr>
              <w:t xml:space="preserve">Внесение всех поправок от куратора при согласовании макета выпуска газеты, направляемых по электронной почте/Дело </w:t>
            </w:r>
            <w:r w:rsidRPr="00563B42">
              <w:rPr>
                <w:rFonts w:eastAsia="Calibri"/>
                <w:lang w:val="en-US"/>
              </w:rPr>
              <w:t>Web</w:t>
            </w:r>
          </w:p>
        </w:tc>
        <w:tc>
          <w:tcPr>
            <w:tcW w:w="1942" w:type="dxa"/>
            <w:vAlign w:val="center"/>
          </w:tcPr>
          <w:p w:rsidR="006E7D11" w:rsidRPr="00F92533" w:rsidRDefault="00ED5B0D" w:rsidP="00E237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Вышедши</w:t>
            </w:r>
            <w:r w:rsidR="00E23766">
              <w:t>е</w:t>
            </w:r>
            <w:r>
              <w:t xml:space="preserve"> выпуск</w:t>
            </w:r>
            <w:r w:rsidR="00E23766">
              <w:t>и газеты</w:t>
            </w:r>
          </w:p>
        </w:tc>
        <w:tc>
          <w:tcPr>
            <w:tcW w:w="3119" w:type="dxa"/>
            <w:vAlign w:val="center"/>
          </w:tcPr>
          <w:p w:rsidR="006E7D11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Соответствие вышедшей печатной газеты с макетом выпуска, направленным Куратором</w:t>
            </w:r>
          </w:p>
        </w:tc>
        <w:tc>
          <w:tcPr>
            <w:tcW w:w="1559" w:type="dxa"/>
            <w:vAlign w:val="center"/>
          </w:tcPr>
          <w:p w:rsidR="006E7D11" w:rsidRPr="00F92533" w:rsidRDefault="00ED5B0D" w:rsidP="00263CFA">
            <w:pPr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</w:tcPr>
          <w:p w:rsidR="006E7D11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внесено/не внесено</w:t>
            </w:r>
          </w:p>
          <w:p w:rsidR="006E7D11" w:rsidRPr="00F92533" w:rsidRDefault="006E7D11" w:rsidP="00263CFA">
            <w:pPr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jc w:val="center"/>
            </w:pPr>
          </w:p>
        </w:tc>
        <w:tc>
          <w:tcPr>
            <w:tcW w:w="2693" w:type="dxa"/>
            <w:vAlign w:val="center"/>
          </w:tcPr>
          <w:p w:rsidR="006E7D11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Заместитель главы города Когалыма / Куратор</w:t>
            </w:r>
          </w:p>
        </w:tc>
      </w:tr>
      <w:tr w:rsidR="006E7D11" w:rsidRPr="00F92533" w:rsidTr="004049CA">
        <w:trPr>
          <w:trHeight w:hRule="exact" w:val="2402"/>
        </w:trPr>
        <w:tc>
          <w:tcPr>
            <w:tcW w:w="531" w:type="dxa"/>
            <w:vAlign w:val="center"/>
          </w:tcPr>
          <w:p w:rsidR="006E7D11" w:rsidRPr="00F92533" w:rsidRDefault="006E7D11" w:rsidP="00263CFA">
            <w:pPr>
              <w:autoSpaceDE w:val="0"/>
              <w:autoSpaceDN w:val="0"/>
              <w:adjustRightInd w:val="0"/>
              <w:jc w:val="center"/>
            </w:pPr>
            <w:r w:rsidRPr="00F92533">
              <w:t>4.</w:t>
            </w:r>
          </w:p>
        </w:tc>
        <w:tc>
          <w:tcPr>
            <w:tcW w:w="2767" w:type="dxa"/>
            <w:vAlign w:val="center"/>
          </w:tcPr>
          <w:p w:rsidR="006E7D11" w:rsidRPr="00F92533" w:rsidRDefault="00ED5B0D" w:rsidP="00263CFA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Соблюдение сроков и порядка предоставление, утверждение и ведение бюджетных смет в соответствии с доведенными лимитами</w:t>
            </w:r>
          </w:p>
        </w:tc>
        <w:tc>
          <w:tcPr>
            <w:tcW w:w="1942" w:type="dxa"/>
            <w:vAlign w:val="center"/>
          </w:tcPr>
          <w:p w:rsidR="006E7D11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служебных записок от должностных лиц отдела о нарушении сроков и порядка предоставления бюджетных смет – ежемесячно</w:t>
            </w:r>
          </w:p>
          <w:p w:rsidR="00ED5B0D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Align w:val="center"/>
          </w:tcPr>
          <w:p w:rsidR="006E7D11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Соблюдение установленных сроков</w:t>
            </w:r>
          </w:p>
        </w:tc>
        <w:tc>
          <w:tcPr>
            <w:tcW w:w="1559" w:type="dxa"/>
            <w:vAlign w:val="center"/>
          </w:tcPr>
          <w:p w:rsidR="006E7D11" w:rsidRPr="00F92533" w:rsidRDefault="00ED5B0D" w:rsidP="00263CFA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6E7D11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4" w:type="dxa"/>
            <w:vAlign w:val="center"/>
          </w:tcPr>
          <w:p w:rsidR="006E7D11" w:rsidRPr="00F92533" w:rsidRDefault="006E7D11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6E7D11" w:rsidRPr="00F92533" w:rsidRDefault="00ED5B0D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4049CA" w:rsidRPr="00F92533" w:rsidTr="004049CA">
        <w:trPr>
          <w:trHeight w:val="1485"/>
        </w:trPr>
        <w:tc>
          <w:tcPr>
            <w:tcW w:w="531" w:type="dxa"/>
            <w:vMerge w:val="restart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</w:pPr>
            <w:r w:rsidRPr="00F92533">
              <w:t>5.</w:t>
            </w:r>
          </w:p>
        </w:tc>
        <w:tc>
          <w:tcPr>
            <w:tcW w:w="2767" w:type="dxa"/>
            <w:vMerge w:val="restart"/>
            <w:vAlign w:val="center"/>
          </w:tcPr>
          <w:p w:rsidR="004049CA" w:rsidRPr="00F92533" w:rsidRDefault="004049CA" w:rsidP="00263CFA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1942" w:type="dxa"/>
            <w:vMerge w:val="restart"/>
            <w:vAlign w:val="center"/>
          </w:tcPr>
          <w:p w:rsidR="004049CA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служебных записок от должностных лиц о несвоевременном и некачественном предоставлении установленной отчетности – ежемесячно</w:t>
            </w:r>
          </w:p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Соблюдение установленных сроков</w:t>
            </w:r>
          </w:p>
        </w:tc>
        <w:tc>
          <w:tcPr>
            <w:tcW w:w="1559" w:type="dxa"/>
            <w:vAlign w:val="center"/>
          </w:tcPr>
          <w:p w:rsidR="004049CA" w:rsidRPr="00F92533" w:rsidRDefault="004049CA" w:rsidP="004049CA">
            <w:pPr>
              <w:jc w:val="center"/>
            </w:pPr>
            <w: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4" w:type="dxa"/>
            <w:vMerge w:val="restart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4049CA" w:rsidRPr="00F92533" w:rsidTr="004049CA">
        <w:trPr>
          <w:trHeight w:hRule="exact" w:val="1485"/>
        </w:trPr>
        <w:tc>
          <w:tcPr>
            <w:tcW w:w="531" w:type="dxa"/>
            <w:vMerge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4049CA" w:rsidRDefault="004049CA" w:rsidP="00263CFA">
            <w:pPr>
              <w:jc w:val="center"/>
              <w:rPr>
                <w:rFonts w:eastAsia="Calibri"/>
              </w:rPr>
            </w:pPr>
          </w:p>
        </w:tc>
        <w:tc>
          <w:tcPr>
            <w:tcW w:w="1942" w:type="dxa"/>
            <w:vMerge/>
            <w:vAlign w:val="center"/>
          </w:tcPr>
          <w:p w:rsidR="004049CA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:rsidR="004049CA" w:rsidRDefault="004049CA" w:rsidP="00263C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4049CA" w:rsidRPr="00F92533" w:rsidRDefault="004049CA" w:rsidP="00263CFA">
            <w:pPr>
              <w:jc w:val="center"/>
            </w:pPr>
            <w:r>
              <w:t>5</w:t>
            </w:r>
          </w:p>
        </w:tc>
        <w:tc>
          <w:tcPr>
            <w:tcW w:w="1418" w:type="dxa"/>
            <w:vMerge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</w:tbl>
    <w:p w:rsidR="00F21879" w:rsidRDefault="00F21879" w:rsidP="00F21879"/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725"/>
        <w:gridCol w:w="1984"/>
        <w:gridCol w:w="3119"/>
        <w:gridCol w:w="1559"/>
        <w:gridCol w:w="1417"/>
        <w:gridCol w:w="1985"/>
        <w:gridCol w:w="2693"/>
      </w:tblGrid>
      <w:tr w:rsidR="004049CA" w:rsidRPr="00F92533" w:rsidTr="004049CA">
        <w:trPr>
          <w:trHeight w:hRule="exact" w:val="3127"/>
        </w:trPr>
        <w:tc>
          <w:tcPr>
            <w:tcW w:w="531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</w:pPr>
            <w:r w:rsidRPr="00F92533">
              <w:lastRenderedPageBreak/>
              <w:t>6.</w:t>
            </w:r>
          </w:p>
        </w:tc>
        <w:tc>
          <w:tcPr>
            <w:tcW w:w="2725" w:type="dxa"/>
            <w:vAlign w:val="center"/>
          </w:tcPr>
          <w:p w:rsidR="004049CA" w:rsidRPr="00F92533" w:rsidRDefault="004049CA" w:rsidP="00263CFA">
            <w:pPr>
              <w:jc w:val="center"/>
            </w:pPr>
            <w:r>
              <w:rPr>
                <w:rFonts w:eastAsia="Calibri"/>
              </w:rPr>
              <w:t>Наличие или отсутствие в отчетном периоде: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1984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Мониторинг финансово-экономического состояния учреждения, отчет «Сведения о состоянии дебиторской и кредиторской задолженности» за пр</w:t>
            </w:r>
            <w:r w:rsidR="00D07D4F">
              <w:rPr>
                <w:bCs/>
              </w:rPr>
              <w:t>едыдущий месяц - ежемесячно</w:t>
            </w:r>
          </w:p>
        </w:tc>
        <w:tc>
          <w:tcPr>
            <w:tcW w:w="3119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просроченной дебиторской задолженности/кредиторской задолженности по платежам в бюджеты всех уровней и внебюджетные фонды за отчетный период</w:t>
            </w:r>
          </w:p>
        </w:tc>
        <w:tc>
          <w:tcPr>
            <w:tcW w:w="1559" w:type="dxa"/>
            <w:vAlign w:val="center"/>
          </w:tcPr>
          <w:p w:rsidR="004049CA" w:rsidRPr="00F92533" w:rsidRDefault="004049CA" w:rsidP="00263CFA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4049CA" w:rsidRPr="00F92533" w:rsidTr="004049CA">
        <w:trPr>
          <w:trHeight w:hRule="exact" w:val="3127"/>
        </w:trPr>
        <w:tc>
          <w:tcPr>
            <w:tcW w:w="531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725" w:type="dxa"/>
            <w:vAlign w:val="center"/>
          </w:tcPr>
          <w:p w:rsidR="004049CA" w:rsidRDefault="004049CA" w:rsidP="004049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 задолженности по заработной платке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1984" w:type="dxa"/>
            <w:vAlign w:val="center"/>
          </w:tcPr>
          <w:p w:rsidR="004049CA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Информация учреждения</w:t>
            </w:r>
          </w:p>
        </w:tc>
        <w:tc>
          <w:tcPr>
            <w:tcW w:w="3119" w:type="dxa"/>
            <w:vAlign w:val="center"/>
          </w:tcPr>
          <w:p w:rsidR="004049CA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задолженности по заработной плате и выплатам социального характера - ежемесячно</w:t>
            </w:r>
          </w:p>
        </w:tc>
        <w:tc>
          <w:tcPr>
            <w:tcW w:w="1559" w:type="dxa"/>
            <w:vAlign w:val="center"/>
          </w:tcPr>
          <w:p w:rsidR="004049CA" w:rsidRDefault="00611FC3" w:rsidP="00263CFA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4049CA" w:rsidRDefault="00611FC3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4049CA" w:rsidRDefault="00611FC3" w:rsidP="00263C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4049CA" w:rsidRPr="00F92533" w:rsidTr="004049CA">
        <w:trPr>
          <w:trHeight w:hRule="exact" w:val="282"/>
        </w:trPr>
        <w:tc>
          <w:tcPr>
            <w:tcW w:w="3256" w:type="dxa"/>
            <w:gridSpan w:val="2"/>
            <w:vAlign w:val="center"/>
          </w:tcPr>
          <w:p w:rsidR="004049CA" w:rsidRPr="00F92533" w:rsidRDefault="00611FC3" w:rsidP="00263CFA">
            <w:pPr>
              <w:autoSpaceDE w:val="0"/>
              <w:autoSpaceDN w:val="0"/>
              <w:adjustRightInd w:val="0"/>
              <w:jc w:val="center"/>
            </w:pPr>
            <w:r>
              <w:t>Совокупное</w:t>
            </w:r>
            <w:r w:rsidR="004049CA" w:rsidRPr="00F92533">
              <w:t xml:space="preserve"> количество баллов</w:t>
            </w:r>
          </w:p>
        </w:tc>
        <w:tc>
          <w:tcPr>
            <w:tcW w:w="1984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3119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1559" w:type="dxa"/>
            <w:vAlign w:val="center"/>
          </w:tcPr>
          <w:p w:rsidR="004049CA" w:rsidRPr="00F92533" w:rsidRDefault="00611FC3" w:rsidP="00263CFA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1985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2693" w:type="dxa"/>
            <w:vAlign w:val="center"/>
          </w:tcPr>
          <w:p w:rsidR="004049CA" w:rsidRPr="00F92533" w:rsidRDefault="004049CA" w:rsidP="00263C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</w:tr>
    </w:tbl>
    <w:p w:rsidR="00F21879" w:rsidRPr="00F3618D" w:rsidRDefault="00F21879" w:rsidP="00F21879">
      <w:pPr>
        <w:pStyle w:val="a7"/>
        <w:spacing w:line="240" w:lineRule="auto"/>
        <w:ind w:left="0" w:firstLine="709"/>
        <w:rPr>
          <w:rFonts w:ascii="Times New Roman" w:hAnsi="Times New Roman"/>
          <w:lang w:eastAsia="ru-RU"/>
        </w:rPr>
      </w:pPr>
    </w:p>
    <w:p w:rsidR="00F21879" w:rsidRDefault="00F21879" w:rsidP="00F2187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A31E8E">
        <w:rPr>
          <w:rFonts w:ascii="Times New Roman" w:hAnsi="Times New Roman"/>
          <w:sz w:val="26"/>
          <w:szCs w:val="26"/>
          <w:lang w:eastAsia="ru-RU"/>
        </w:rPr>
        <w:t>Отчёт предоставил:</w:t>
      </w:r>
    </w:p>
    <w:p w:rsidR="00611FC3" w:rsidRDefault="00611FC3" w:rsidP="00F2187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p w:rsidR="00611FC3" w:rsidRPr="00A31E8E" w:rsidRDefault="00611FC3" w:rsidP="00F2187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5002"/>
        <w:gridCol w:w="4002"/>
      </w:tblGrid>
      <w:tr w:rsidR="00611FC3" w:rsidRPr="00611FC3" w:rsidTr="00263CFA">
        <w:trPr>
          <w:trHeight w:val="758"/>
        </w:trPr>
        <w:tc>
          <w:tcPr>
            <w:tcW w:w="5557" w:type="dxa"/>
          </w:tcPr>
          <w:p w:rsidR="00611FC3" w:rsidRPr="00611FC3" w:rsidRDefault="00611FC3" w:rsidP="00263CF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611FC3">
              <w:rPr>
                <w:rFonts w:eastAsia="Calibri"/>
                <w:sz w:val="26"/>
                <w:szCs w:val="26"/>
              </w:rPr>
              <w:t>Руководитель муниципального учреждения</w:t>
            </w:r>
          </w:p>
          <w:p w:rsidR="00611FC3" w:rsidRPr="007027BA" w:rsidRDefault="00611FC3" w:rsidP="00263CF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02" w:type="dxa"/>
          </w:tcPr>
          <w:p w:rsidR="00611FC3" w:rsidRPr="00903CF1" w:rsidRDefault="00611FC3" w:rsidP="00263CF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11FC3" w:rsidRPr="00903CF1" w:rsidRDefault="00611FC3" w:rsidP="00263CF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11FC3" w:rsidRPr="00903CF1" w:rsidRDefault="00611FC3" w:rsidP="00263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11FC3" w:rsidRPr="00903CF1" w:rsidRDefault="00611FC3" w:rsidP="00263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611FC3" w:rsidRPr="00903CF1" w:rsidRDefault="00611FC3" w:rsidP="00263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11FC3" w:rsidRPr="00B27354" w:rsidRDefault="00611FC3" w:rsidP="00263C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4002" w:type="dxa"/>
          </w:tcPr>
          <w:p w:rsidR="00611FC3" w:rsidRPr="00611FC3" w:rsidRDefault="00611FC3" w:rsidP="00263CF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</w:rPr>
            </w:pPr>
            <w:r w:rsidRPr="00611FC3">
              <w:rPr>
                <w:rFonts w:eastAsia="Calibri"/>
                <w:sz w:val="26"/>
                <w:szCs w:val="26"/>
              </w:rPr>
              <w:t>ФИО</w:t>
            </w:r>
          </w:p>
        </w:tc>
      </w:tr>
    </w:tbl>
    <w:p w:rsidR="00F21879" w:rsidRPr="008329FC" w:rsidRDefault="00F21879" w:rsidP="002A1C5A">
      <w:pPr>
        <w:spacing w:after="200" w:line="276" w:lineRule="auto"/>
        <w:rPr>
          <w:sz w:val="26"/>
          <w:szCs w:val="26"/>
        </w:rPr>
      </w:pPr>
    </w:p>
    <w:sectPr w:rsidR="00F21879" w:rsidRPr="008329FC" w:rsidSect="00BB3305">
      <w:pgSz w:w="16838" w:h="11906" w:orient="landscape"/>
      <w:pgMar w:top="215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375"/>
    <w:rsid w:val="00065BCF"/>
    <w:rsid w:val="00082085"/>
    <w:rsid w:val="00086EE4"/>
    <w:rsid w:val="000A5C51"/>
    <w:rsid w:val="000E0C39"/>
    <w:rsid w:val="000E75FF"/>
    <w:rsid w:val="000F0569"/>
    <w:rsid w:val="001403B0"/>
    <w:rsid w:val="00154C44"/>
    <w:rsid w:val="00166A24"/>
    <w:rsid w:val="00171A84"/>
    <w:rsid w:val="0017750B"/>
    <w:rsid w:val="001D0927"/>
    <w:rsid w:val="001E328E"/>
    <w:rsid w:val="00201088"/>
    <w:rsid w:val="00205591"/>
    <w:rsid w:val="0021051D"/>
    <w:rsid w:val="00214B28"/>
    <w:rsid w:val="00267F0D"/>
    <w:rsid w:val="002A1C5A"/>
    <w:rsid w:val="002B10AF"/>
    <w:rsid w:val="002B49A0"/>
    <w:rsid w:val="002D5593"/>
    <w:rsid w:val="002E0A30"/>
    <w:rsid w:val="002F7936"/>
    <w:rsid w:val="00300D9B"/>
    <w:rsid w:val="00313DAF"/>
    <w:rsid w:val="003447F7"/>
    <w:rsid w:val="00363E0F"/>
    <w:rsid w:val="0038569D"/>
    <w:rsid w:val="00391E15"/>
    <w:rsid w:val="00393964"/>
    <w:rsid w:val="003D2CC2"/>
    <w:rsid w:val="003E0FA3"/>
    <w:rsid w:val="003F587E"/>
    <w:rsid w:val="004049CA"/>
    <w:rsid w:val="004252D8"/>
    <w:rsid w:val="0043438A"/>
    <w:rsid w:val="00441692"/>
    <w:rsid w:val="004F33B1"/>
    <w:rsid w:val="00500E8D"/>
    <w:rsid w:val="00502FEC"/>
    <w:rsid w:val="00520DB1"/>
    <w:rsid w:val="005500E4"/>
    <w:rsid w:val="00563B42"/>
    <w:rsid w:val="005B0097"/>
    <w:rsid w:val="005C24DF"/>
    <w:rsid w:val="005D1964"/>
    <w:rsid w:val="005E2E23"/>
    <w:rsid w:val="006015ED"/>
    <w:rsid w:val="00611DB3"/>
    <w:rsid w:val="00611FC3"/>
    <w:rsid w:val="00614AA9"/>
    <w:rsid w:val="00625AA2"/>
    <w:rsid w:val="00630B1A"/>
    <w:rsid w:val="00635680"/>
    <w:rsid w:val="006822B7"/>
    <w:rsid w:val="006D553F"/>
    <w:rsid w:val="006E7D11"/>
    <w:rsid w:val="006F5BDD"/>
    <w:rsid w:val="007331E0"/>
    <w:rsid w:val="0074653F"/>
    <w:rsid w:val="00747B75"/>
    <w:rsid w:val="007A3E59"/>
    <w:rsid w:val="007C24AA"/>
    <w:rsid w:val="007D1C62"/>
    <w:rsid w:val="007D284C"/>
    <w:rsid w:val="007E28C2"/>
    <w:rsid w:val="007F5689"/>
    <w:rsid w:val="00820045"/>
    <w:rsid w:val="008329FC"/>
    <w:rsid w:val="008446EA"/>
    <w:rsid w:val="008544DB"/>
    <w:rsid w:val="008562BD"/>
    <w:rsid w:val="0086685A"/>
    <w:rsid w:val="00874797"/>
    <w:rsid w:val="00874F39"/>
    <w:rsid w:val="00877CE5"/>
    <w:rsid w:val="008A51A9"/>
    <w:rsid w:val="008C0B7C"/>
    <w:rsid w:val="008C7E24"/>
    <w:rsid w:val="008D2DB3"/>
    <w:rsid w:val="008D480B"/>
    <w:rsid w:val="00910362"/>
    <w:rsid w:val="00936BD1"/>
    <w:rsid w:val="00952EC3"/>
    <w:rsid w:val="009760F4"/>
    <w:rsid w:val="00981C8F"/>
    <w:rsid w:val="009C47D2"/>
    <w:rsid w:val="00A325D6"/>
    <w:rsid w:val="00A564E7"/>
    <w:rsid w:val="00A913CC"/>
    <w:rsid w:val="00AD3898"/>
    <w:rsid w:val="00AE050F"/>
    <w:rsid w:val="00AE6CEC"/>
    <w:rsid w:val="00B20680"/>
    <w:rsid w:val="00B22DDA"/>
    <w:rsid w:val="00B25576"/>
    <w:rsid w:val="00B31DEF"/>
    <w:rsid w:val="00B44BE6"/>
    <w:rsid w:val="00B50E98"/>
    <w:rsid w:val="00B70F84"/>
    <w:rsid w:val="00B71C99"/>
    <w:rsid w:val="00B76B62"/>
    <w:rsid w:val="00B80757"/>
    <w:rsid w:val="00B92A14"/>
    <w:rsid w:val="00BB1866"/>
    <w:rsid w:val="00BB3305"/>
    <w:rsid w:val="00BB6FF9"/>
    <w:rsid w:val="00BC37E6"/>
    <w:rsid w:val="00BF4174"/>
    <w:rsid w:val="00C27247"/>
    <w:rsid w:val="00C36882"/>
    <w:rsid w:val="00C45032"/>
    <w:rsid w:val="00C54BCC"/>
    <w:rsid w:val="00C700C4"/>
    <w:rsid w:val="00C700F3"/>
    <w:rsid w:val="00CB2627"/>
    <w:rsid w:val="00CB7D12"/>
    <w:rsid w:val="00CC367F"/>
    <w:rsid w:val="00CD331F"/>
    <w:rsid w:val="00CE6F52"/>
    <w:rsid w:val="00CF1349"/>
    <w:rsid w:val="00CF6B89"/>
    <w:rsid w:val="00CF6E30"/>
    <w:rsid w:val="00D07D4F"/>
    <w:rsid w:val="00D1113F"/>
    <w:rsid w:val="00D11C18"/>
    <w:rsid w:val="00D52DB6"/>
    <w:rsid w:val="00D5489C"/>
    <w:rsid w:val="00D61105"/>
    <w:rsid w:val="00D8787E"/>
    <w:rsid w:val="00E1471A"/>
    <w:rsid w:val="00E23766"/>
    <w:rsid w:val="00E40D15"/>
    <w:rsid w:val="00E7022B"/>
    <w:rsid w:val="00E804A7"/>
    <w:rsid w:val="00EB75CB"/>
    <w:rsid w:val="00EB76A4"/>
    <w:rsid w:val="00EC17E6"/>
    <w:rsid w:val="00ED5B0D"/>
    <w:rsid w:val="00ED5C7C"/>
    <w:rsid w:val="00ED62A2"/>
    <w:rsid w:val="00EE3504"/>
    <w:rsid w:val="00EE539C"/>
    <w:rsid w:val="00F06198"/>
    <w:rsid w:val="00F15906"/>
    <w:rsid w:val="00F16690"/>
    <w:rsid w:val="00F21879"/>
    <w:rsid w:val="00F5080D"/>
    <w:rsid w:val="00F8542E"/>
    <w:rsid w:val="00FB426A"/>
    <w:rsid w:val="00FB5937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C42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51838&amp;dst=10001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46865&amp;dst=1003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51838&amp;dst=10006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57C8-D6AA-448C-8C11-A5B6EF99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8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30</cp:revision>
  <cp:lastPrinted>2025-05-22T05:52:00Z</cp:lastPrinted>
  <dcterms:created xsi:type="dcterms:W3CDTF">2025-04-25T04:10:00Z</dcterms:created>
  <dcterms:modified xsi:type="dcterms:W3CDTF">2025-06-02T09:18:00Z</dcterms:modified>
</cp:coreProperties>
</file>