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E15FBD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«</w:t>
      </w:r>
      <w:r w:rsidR="00980C63" w:rsidRP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Об установлении коэффициента переходного периода в отношении земельных участков, расположенных в городе Когалыме, государственная собственность на которые не разграничена, предоставленны</w:t>
      </w:r>
      <w:r w:rsidR="00393860">
        <w:rPr>
          <w:rFonts w:ascii="Times New Roman" w:hAnsi="Times New Roman"/>
          <w:i/>
          <w:sz w:val="26"/>
          <w:szCs w:val="26"/>
          <w:u w:val="single"/>
          <w:lang w:eastAsia="ru-RU"/>
        </w:rPr>
        <w:t>х</w:t>
      </w:r>
      <w:r w:rsidR="00980C63" w:rsidRP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в аренду без торгов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  <w:r w:rsidR="00980C63">
        <w:rPr>
          <w:rFonts w:ascii="Times New Roman" w:hAnsi="Times New Roman"/>
          <w:i/>
          <w:sz w:val="26"/>
          <w:szCs w:val="26"/>
          <w:u w:val="single"/>
        </w:rPr>
        <w:t>.</w:t>
      </w:r>
      <w:proofErr w:type="gramEnd"/>
    </w:p>
    <w:p w:rsidR="002B642D" w:rsidRPr="00BE213F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</w:t>
      </w:r>
      <w:proofErr w:type="gram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.К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огалым,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r w:rsid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11</w:t>
      </w:r>
      <w:r w:rsidR="00980C63">
        <w:rPr>
          <w:rFonts w:ascii="Times New Roman" w:hAnsi="Times New Roman"/>
          <w:b/>
          <w:sz w:val="26"/>
          <w:szCs w:val="26"/>
          <w:u w:val="single"/>
          <w:lang w:eastAsia="ru-RU"/>
        </w:rPr>
        <w:t>0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980C63">
        <w:rPr>
          <w:rFonts w:ascii="Times New Roman" w:hAnsi="Times New Roman"/>
          <w:sz w:val="26"/>
          <w:szCs w:val="26"/>
          <w:lang w:eastAsia="ru-RU"/>
        </w:rPr>
        <w:t>ое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980C63">
        <w:rPr>
          <w:rFonts w:ascii="Times New Roman" w:hAnsi="Times New Roman"/>
          <w:sz w:val="26"/>
          <w:szCs w:val="26"/>
          <w:lang w:eastAsia="ru-RU"/>
        </w:rPr>
        <w:t>о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главный 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специалист отдела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договорных отношений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Сорока Екатерина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Валерьевна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,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                     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8 (34667)93-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7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77.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776BAD">
        <w:rPr>
          <w:rFonts w:ascii="Times New Roman" w:hAnsi="Times New Roman"/>
          <w:sz w:val="26"/>
          <w:szCs w:val="26"/>
          <w:lang w:eastAsia="ru-RU"/>
        </w:rPr>
        <w:t>01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6BAD">
        <w:rPr>
          <w:rFonts w:ascii="Times New Roman" w:hAnsi="Times New Roman"/>
          <w:sz w:val="26"/>
          <w:szCs w:val="26"/>
          <w:lang w:eastAsia="ru-RU"/>
        </w:rPr>
        <w:t>ноября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>7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700158">
        <w:rPr>
          <w:rFonts w:ascii="Times New Roman" w:hAnsi="Times New Roman"/>
          <w:sz w:val="26"/>
          <w:szCs w:val="26"/>
          <w:lang w:eastAsia="ru-RU"/>
        </w:rPr>
        <w:t>1</w:t>
      </w:r>
      <w:r w:rsidR="00776BAD">
        <w:rPr>
          <w:rFonts w:ascii="Times New Roman" w:hAnsi="Times New Roman"/>
          <w:sz w:val="26"/>
          <w:szCs w:val="26"/>
          <w:lang w:eastAsia="ru-RU"/>
        </w:rPr>
        <w:t>5</w:t>
      </w:r>
      <w:bookmarkStart w:id="0" w:name="_GoBack"/>
      <w:bookmarkEnd w:id="0"/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0158">
        <w:rPr>
          <w:rFonts w:ascii="Times New Roman" w:hAnsi="Times New Roman"/>
          <w:sz w:val="26"/>
          <w:szCs w:val="26"/>
          <w:lang w:eastAsia="ru-RU"/>
        </w:rPr>
        <w:t>ноября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>7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700158">
        <w:rPr>
          <w:rFonts w:ascii="Times New Roman" w:hAnsi="Times New Roman"/>
          <w:sz w:val="26"/>
          <w:szCs w:val="26"/>
          <w:lang w:eastAsia="ru-RU"/>
        </w:rPr>
        <w:t>17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0158">
        <w:rPr>
          <w:rFonts w:ascii="Times New Roman" w:hAnsi="Times New Roman"/>
          <w:sz w:val="26"/>
          <w:szCs w:val="26"/>
          <w:lang w:eastAsia="ru-RU"/>
        </w:rPr>
        <w:t>ноября</w:t>
      </w:r>
      <w:r w:rsidR="001237B2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 xml:space="preserve">7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3B59AD" w:rsidRDefault="003B59A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noProof/>
          <w:sz w:val="26"/>
          <w:szCs w:val="26"/>
          <w:lang w:eastAsia="ru-RU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t>Развитие конкуренции</w:t>
      </w:r>
      <w:r w:rsidRPr="003B59AD">
        <w:rPr>
          <w:rFonts w:ascii="Times New Roman" w:hAnsi="Times New Roman"/>
          <w:i/>
          <w:noProof/>
          <w:sz w:val="26"/>
          <w:szCs w:val="26"/>
          <w:lang w:eastAsia="ru-RU"/>
        </w:rPr>
        <w:t>, создание финансовых предпосылок эффективного экономического роста города Когалыма.</w:t>
      </w:r>
    </w:p>
    <w:p w:rsidR="00E15FBD" w:rsidRPr="00110F5F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ED3"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 w:rsidR="001D1BF6">
        <w:rPr>
          <w:rFonts w:ascii="Times New Roman" w:hAnsi="Times New Roman"/>
          <w:i/>
          <w:sz w:val="26"/>
          <w:szCs w:val="26"/>
        </w:rPr>
        <w:t>.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1D1BF6" w:rsidRDefault="001D1BF6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1D1BF6">
        <w:rPr>
          <w:rFonts w:ascii="Times New Roman" w:hAnsi="Times New Roman"/>
          <w:i/>
          <w:sz w:val="26"/>
          <w:szCs w:val="26"/>
        </w:rPr>
        <w:t>В соответствии с пунктом 2 статьи 3.3 Федерального закона от 25.10.2001    №137-ФЗ «О введении в действие Земельного кодекса Российской Федерации», постановлением Правительства Ханты-Мансийского автономного округа - Югры от 07.08.2015 №249-п «Об утверждении результатов определения кадастровой стоимости земельных участков  составе земель населенных пунктов на территории Ханты-Мансийского автономного округа – Югры и признании утратившими силу некоторых постановлений Правительства Ханты-Мансийского автономного         округа – Югры», постановлением Правительства</w:t>
      </w:r>
      <w:proofErr w:type="gramEnd"/>
      <w:r w:rsidRPr="001D1BF6">
        <w:rPr>
          <w:rFonts w:ascii="Times New Roman" w:hAnsi="Times New Roman"/>
          <w:i/>
          <w:sz w:val="26"/>
          <w:szCs w:val="26"/>
        </w:rPr>
        <w:t xml:space="preserve"> Ханты-Мансийского автономного           округа - Югры от 02.12.2011 №457-п «Об арендной плате за земельные участки земель населенных </w:t>
      </w:r>
      <w:r w:rsidRPr="001D1BF6">
        <w:rPr>
          <w:rFonts w:ascii="Times New Roman" w:hAnsi="Times New Roman"/>
          <w:i/>
          <w:sz w:val="26"/>
          <w:szCs w:val="26"/>
        </w:rPr>
        <w:lastRenderedPageBreak/>
        <w:t>пунктов», Федеральным Законом от 19.12.2016 №415-ФЗ «О Федеральном бюджете на 2017 год и на плановый период 2018 и 2019 годов»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1289">
        <w:rPr>
          <w:rFonts w:ascii="Times New Roman" w:hAnsi="Times New Roman"/>
          <w:sz w:val="26"/>
          <w:szCs w:val="26"/>
          <w:lang w:eastAsia="ru-RU"/>
        </w:rPr>
        <w:t>01.01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.201</w:t>
      </w:r>
      <w:r w:rsidR="00BF1289">
        <w:rPr>
          <w:rFonts w:ascii="Times New Roman" w:hAnsi="Times New Roman"/>
          <w:i/>
          <w:sz w:val="26"/>
          <w:szCs w:val="26"/>
          <w:lang w:eastAsia="ru-RU"/>
        </w:rPr>
        <w:t>8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  <w:r w:rsidR="009A4C7E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1D1BF6" w:rsidRDefault="002B642D" w:rsidP="001D1BF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0"/>
        <w:gridCol w:w="2084"/>
        <w:gridCol w:w="2126"/>
      </w:tblGrid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 Администрации города Когалыма «</w:t>
            </w:r>
            <w:r w:rsidRPr="00980C6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 установлении коэффициента переходного периода в отношении земельных участков, расположенных в городе Когалыме, государственная собственность на которые не разграничена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</w:t>
            </w:r>
            <w:proofErr w:type="gramEnd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проекта постановления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7001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105 заключенных договоров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7001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105 заключенных договоров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BF12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расходов на 4%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BF12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6.4.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BF12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доходов на 4%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BF12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6.5. Оценка возможности достижения заявленных целей предлагаемого правового регулирования посредством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достичь заявленных целей регулирования.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позволит достичь заявленных целей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6.6. Оценка рисков неблагоприятных последствий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Pr="00687F93" w:rsidRDefault="00687F93" w:rsidP="00901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87F9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Неблагоприятных последствий в связи с введением Проекта в действие не ожидается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87F93" w:rsidP="00901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Несоответствие действующему законодательству Российской Федерации</w:t>
            </w:r>
          </w:p>
        </w:tc>
      </w:tr>
    </w:tbl>
    <w:p w:rsidR="002D0D94" w:rsidRDefault="002D0D94" w:rsidP="002D0D94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D0D94">
        <w:rPr>
          <w:rFonts w:ascii="Times New Roman" w:hAnsi="Times New Roman"/>
          <w:sz w:val="26"/>
          <w:szCs w:val="26"/>
          <w:lang w:eastAsia="ru-RU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2B642D" w:rsidRPr="00687F93" w:rsidRDefault="00687F93" w:rsidP="009016C0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 w:rsidRPr="00687F93">
        <w:rPr>
          <w:rFonts w:ascii="Times New Roman" w:hAnsi="Times New Roman"/>
          <w:i/>
          <w:sz w:val="26"/>
          <w:szCs w:val="26"/>
          <w:lang w:eastAsia="ru-RU"/>
        </w:rPr>
        <w:t>Вариант 1 предлагаемого правового регулирования предпочтителен</w:t>
      </w:r>
      <w:r w:rsidR="009016C0" w:rsidRPr="00687F93">
        <w:rPr>
          <w:rFonts w:ascii="Times New Roman" w:hAnsi="Times New Roman"/>
          <w:i/>
          <w:sz w:val="26"/>
          <w:szCs w:val="26"/>
          <w:lang w:eastAsia="ru-RU"/>
        </w:rPr>
        <w:t>, в связи с тем, что коэффициент переходного периода в отношении земельных участков устанавливается органами местного самоуправления, обладающими правом их предоставления в соответствии с полномочиями</w:t>
      </w:r>
      <w:r w:rsidRPr="00687F93">
        <w:rPr>
          <w:rFonts w:ascii="Times New Roman" w:hAnsi="Times New Roman"/>
          <w:i/>
          <w:sz w:val="26"/>
          <w:szCs w:val="26"/>
          <w:lang w:eastAsia="ru-RU"/>
        </w:rPr>
        <w:t>. Принятие проекта поспособствует развитию конкуренции, созданию благоприятного инвестиционного климата, создание правовых, финансовых и социальных предпосылок эффективного экономического роста города Когалыма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C63F25" w:rsidP="001237B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</w:t>
            </w:r>
            <w:proofErr w:type="gramStart"/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постановления Администрации города Когалыма 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Администрации города</w:t>
            </w:r>
            <w:proofErr w:type="gramEnd"/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Когалыма «</w:t>
            </w:r>
            <w:r w:rsidR="001D1BF6" w:rsidRPr="001D1BF6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Об установлении коэффициента переходного периода в отношении земельных участков, расположенных в городе Когалыме, государственная собственность на которые не разграничена, предоставленные в аренду без торгов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1D1B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1F" w:rsidRDefault="002A301F">
      <w:pPr>
        <w:spacing w:after="0" w:line="240" w:lineRule="auto"/>
      </w:pPr>
      <w:r>
        <w:separator/>
      </w:r>
    </w:p>
  </w:endnote>
  <w:endnote w:type="continuationSeparator" w:id="0">
    <w:p w:rsidR="002A301F" w:rsidRDefault="002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6" w:rsidRDefault="007D2616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6" w:rsidRDefault="00096DB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6BAD">
      <w:rPr>
        <w:noProof/>
      </w:rPr>
      <w:t>3</w:t>
    </w:r>
    <w:r>
      <w:rPr>
        <w:noProof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1F" w:rsidRDefault="002A301F">
      <w:pPr>
        <w:spacing w:after="0" w:line="240" w:lineRule="auto"/>
      </w:pPr>
      <w:r>
        <w:separator/>
      </w:r>
    </w:p>
  </w:footnote>
  <w:footnote w:type="continuationSeparator" w:id="0">
    <w:p w:rsidR="002A301F" w:rsidRDefault="002A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96DB7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674C"/>
    <w:rsid w:val="00156A66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1BF6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301F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0D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80F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93860"/>
    <w:rsid w:val="003A2786"/>
    <w:rsid w:val="003A2C46"/>
    <w:rsid w:val="003A320C"/>
    <w:rsid w:val="003B0C21"/>
    <w:rsid w:val="003B0DDC"/>
    <w:rsid w:val="003B3DB5"/>
    <w:rsid w:val="003B45C9"/>
    <w:rsid w:val="003B5649"/>
    <w:rsid w:val="003B59AD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711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2731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B7832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28F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87F93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0158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6BAD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16C0"/>
    <w:rsid w:val="0090264D"/>
    <w:rsid w:val="0090334A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0C63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213F"/>
    <w:rsid w:val="00BE5EA7"/>
    <w:rsid w:val="00BE6375"/>
    <w:rsid w:val="00BF1289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1F3E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13B1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Деркач Елена Васильевна</cp:lastModifiedBy>
  <cp:revision>10</cp:revision>
  <cp:lastPrinted>2016-07-04T06:17:00Z</cp:lastPrinted>
  <dcterms:created xsi:type="dcterms:W3CDTF">2017-03-21T11:21:00Z</dcterms:created>
  <dcterms:modified xsi:type="dcterms:W3CDTF">2017-10-31T09:47:00Z</dcterms:modified>
</cp:coreProperties>
</file>