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3D" w:rsidRPr="007B193D" w:rsidRDefault="007B193D" w:rsidP="007B19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B193D" w:rsidRPr="007B193D" w:rsidRDefault="007B193D" w:rsidP="007B193D">
      <w:pPr>
        <w:widowControl w:val="0"/>
        <w:autoSpaceDN w:val="0"/>
        <w:spacing w:after="120" w:line="240" w:lineRule="auto"/>
        <w:ind w:left="283"/>
        <w:rPr>
          <w:rFonts w:ascii="Times New Roman" w:hAnsi="Times New Roman"/>
          <w:b/>
          <w:sz w:val="16"/>
          <w:szCs w:val="16"/>
        </w:rPr>
      </w:pPr>
      <w:r w:rsidRPr="007B193D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34468216" r:id="rId9"/>
        </w:pict>
      </w:r>
    </w:p>
    <w:p w:rsidR="007B193D" w:rsidRPr="007B193D" w:rsidRDefault="007B193D" w:rsidP="007B193D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7B193D">
        <w:rPr>
          <w:rFonts w:ascii="Times New Roman" w:hAnsi="Times New Roman"/>
          <w:b/>
          <w:color w:val="3366FF"/>
          <w:sz w:val="28"/>
          <w:szCs w:val="20"/>
        </w:rPr>
        <w:t>ПОСТАНОВЛЕНИЕ</w:t>
      </w:r>
    </w:p>
    <w:p w:rsidR="007B193D" w:rsidRPr="007B193D" w:rsidRDefault="007B193D" w:rsidP="007B193D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7B193D">
        <w:rPr>
          <w:rFonts w:ascii="Times New Roman" w:hAnsi="Times New Roman"/>
          <w:b/>
          <w:color w:val="3366FF"/>
          <w:sz w:val="28"/>
          <w:szCs w:val="20"/>
        </w:rPr>
        <w:t>АДМИНИСТРАЦИИ ГОРОДА КОГАЛЫМА</w:t>
      </w:r>
    </w:p>
    <w:p w:rsidR="007B193D" w:rsidRPr="007B193D" w:rsidRDefault="007B193D" w:rsidP="007B193D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3366FF"/>
          <w:sz w:val="28"/>
          <w:szCs w:val="20"/>
        </w:rPr>
      </w:pPr>
      <w:r w:rsidRPr="007B193D">
        <w:rPr>
          <w:rFonts w:ascii="Times New Roman" w:hAnsi="Times New Roman"/>
          <w:b/>
          <w:color w:val="3366FF"/>
          <w:sz w:val="28"/>
          <w:szCs w:val="20"/>
        </w:rPr>
        <w:t>Ханты-Мансийского автономного округа – Югры</w:t>
      </w:r>
    </w:p>
    <w:p w:rsidR="007B193D" w:rsidRPr="007B193D" w:rsidRDefault="007B193D" w:rsidP="007B193D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7B193D" w:rsidRPr="007B193D" w:rsidRDefault="007B193D" w:rsidP="007B193D">
      <w:pPr>
        <w:autoSpaceDN w:val="0"/>
        <w:spacing w:after="0" w:line="240" w:lineRule="auto"/>
        <w:rPr>
          <w:rFonts w:ascii="Times New Roman" w:hAnsi="Times New Roman"/>
          <w:b/>
          <w:color w:val="3366FF"/>
          <w:sz w:val="28"/>
          <w:szCs w:val="20"/>
        </w:rPr>
      </w:pPr>
    </w:p>
    <w:p w:rsidR="007B193D" w:rsidRPr="007B193D" w:rsidRDefault="007B193D" w:rsidP="007B193D">
      <w:pPr>
        <w:autoSpaceDN w:val="0"/>
        <w:spacing w:after="0" w:line="240" w:lineRule="auto"/>
        <w:rPr>
          <w:rFonts w:ascii="Times New Roman" w:hAnsi="Times New Roman"/>
          <w:sz w:val="28"/>
          <w:szCs w:val="20"/>
        </w:rPr>
      </w:pPr>
      <w:r w:rsidRPr="007B193D">
        <w:rPr>
          <w:rFonts w:ascii="Times New Roman" w:hAnsi="Times New Roman"/>
          <w:b/>
          <w:color w:val="3366FF"/>
          <w:sz w:val="28"/>
          <w:szCs w:val="20"/>
        </w:rPr>
        <w:t>От «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_04</w:t>
      </w:r>
      <w:r w:rsidRPr="007B193D">
        <w:rPr>
          <w:rFonts w:ascii="Times New Roman" w:hAnsi="Times New Roman"/>
          <w:b/>
          <w:color w:val="3366FF"/>
          <w:sz w:val="28"/>
          <w:szCs w:val="20"/>
          <w:u w:val="single"/>
        </w:rPr>
        <w:t>_</w:t>
      </w:r>
      <w:r w:rsidRPr="007B193D">
        <w:rPr>
          <w:rFonts w:ascii="Times New Roman" w:hAnsi="Times New Roman"/>
          <w:b/>
          <w:color w:val="3366FF"/>
          <w:sz w:val="28"/>
          <w:szCs w:val="20"/>
        </w:rPr>
        <w:t>»</w:t>
      </w:r>
      <w:r w:rsidRPr="007B193D">
        <w:rPr>
          <w:rFonts w:ascii="Times New Roman" w:hAnsi="Times New Roman"/>
          <w:b/>
          <w:color w:val="3366FF"/>
          <w:sz w:val="28"/>
          <w:szCs w:val="20"/>
          <w:u w:val="single"/>
        </w:rPr>
        <w:t>_  июля _</w:t>
      </w:r>
      <w:r w:rsidRPr="007B193D">
        <w:rPr>
          <w:rFonts w:ascii="Times New Roman" w:hAnsi="Times New Roman"/>
          <w:b/>
          <w:color w:val="3366FF"/>
          <w:sz w:val="28"/>
          <w:szCs w:val="20"/>
        </w:rPr>
        <w:t xml:space="preserve"> 2013 г.</w:t>
      </w:r>
      <w:r w:rsidRPr="007B193D">
        <w:rPr>
          <w:rFonts w:ascii="Times New Roman" w:hAnsi="Times New Roman"/>
          <w:b/>
          <w:color w:val="3366FF"/>
          <w:sz w:val="28"/>
          <w:szCs w:val="20"/>
        </w:rPr>
        <w:tab/>
      </w:r>
      <w:r w:rsidRPr="007B193D">
        <w:rPr>
          <w:rFonts w:ascii="Times New Roman" w:hAnsi="Times New Roman"/>
          <w:b/>
          <w:color w:val="3366FF"/>
          <w:sz w:val="28"/>
          <w:szCs w:val="20"/>
        </w:rPr>
        <w:tab/>
      </w:r>
      <w:r w:rsidRPr="007B193D">
        <w:rPr>
          <w:rFonts w:ascii="Times New Roman" w:hAnsi="Times New Roman"/>
          <w:b/>
          <w:color w:val="3366FF"/>
          <w:sz w:val="28"/>
          <w:szCs w:val="20"/>
        </w:rPr>
        <w:tab/>
      </w:r>
      <w:r w:rsidRPr="007B193D">
        <w:rPr>
          <w:rFonts w:ascii="Times New Roman" w:hAnsi="Times New Roman"/>
          <w:b/>
          <w:color w:val="3366FF"/>
          <w:sz w:val="28"/>
          <w:szCs w:val="20"/>
        </w:rPr>
        <w:tab/>
        <w:t xml:space="preserve">                            № </w:t>
      </w:r>
      <w:r w:rsidRPr="007B193D">
        <w:rPr>
          <w:rFonts w:ascii="Times New Roman" w:hAnsi="Times New Roman"/>
          <w:b/>
          <w:color w:val="3366FF"/>
          <w:sz w:val="28"/>
          <w:szCs w:val="20"/>
          <w:u w:val="single"/>
        </w:rPr>
        <w:t>20</w:t>
      </w:r>
      <w:r>
        <w:rPr>
          <w:rFonts w:ascii="Times New Roman" w:hAnsi="Times New Roman"/>
          <w:b/>
          <w:color w:val="3366FF"/>
          <w:sz w:val="28"/>
          <w:szCs w:val="20"/>
          <w:u w:val="single"/>
        </w:rPr>
        <w:t>16</w:t>
      </w:r>
    </w:p>
    <w:p w:rsidR="001A154B" w:rsidRDefault="001A154B" w:rsidP="005E61A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154B" w:rsidRDefault="001A154B" w:rsidP="005E61A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154B" w:rsidRDefault="001A154B" w:rsidP="005E61A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9109D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 xml:space="preserve"> утверждении </w:t>
      </w:r>
    </w:p>
    <w:p w:rsidR="001A154B" w:rsidRDefault="001A154B" w:rsidP="005E61A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плана мероприятий («дорожной карты»)</w:t>
      </w:r>
    </w:p>
    <w:p w:rsidR="001A154B" w:rsidRDefault="001A154B" w:rsidP="0089109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«Изменения, направленные на повышение </w:t>
      </w:r>
    </w:p>
    <w:p w:rsidR="001A154B" w:rsidRDefault="001A154B" w:rsidP="0089109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эффективности сферы культуры города Когалыма»</w:t>
      </w:r>
    </w:p>
    <w:p w:rsidR="001A154B" w:rsidRDefault="001A154B" w:rsidP="0089109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154B" w:rsidRDefault="001A154B" w:rsidP="00087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Указом Президента Российской Федерации                        от 07.05.2012 №597 «О мероприятиях по реализации государственной социальной политики», распоряжением Правительства Российской Федерации от 26.11.2012 №2190-р «Об утверждении программы поэтапного совершенствования системы оплаты труда в государственных (муниципальных) учреждениях на 2012-2018 годы», распоряжением Правительства Российской Федерации от 28.12.2012 №2606-р                               «Об утверждении плана мероприятий «дорожная карта» «Изменения в отраслях социальной сферы, направленные на повышение эффективности сферы культуры», распоряжением Правительства Ханты-Мансийского автономного округа – Югры от 09.02.2013 №46-рп «О плане мероприятий («дорожной карте») «Изменения в отраслях социальной сферы, направленные на повышение эффективности сферы культуры в Ханты-Мансийском автономном округе – Югре» в целях повышения эффективности деятельности в сфере культуры города Когалыма:</w:t>
      </w:r>
    </w:p>
    <w:p w:rsidR="001A154B" w:rsidRDefault="001A154B" w:rsidP="00087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0873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79BE">
        <w:rPr>
          <w:rFonts w:ascii="Times New Roman" w:hAnsi="Times New Roman"/>
          <w:sz w:val="26"/>
          <w:szCs w:val="26"/>
        </w:rPr>
        <w:t>Утвердить план мероприятий («дорожную карту»)</w:t>
      </w:r>
      <w:r>
        <w:rPr>
          <w:rFonts w:ascii="Times New Roman" w:hAnsi="Times New Roman"/>
          <w:sz w:val="26"/>
          <w:szCs w:val="26"/>
        </w:rPr>
        <w:t xml:space="preserve"> «Изменения, направленные на повышение эффективности сферы культуры города Когалыма» </w:t>
      </w:r>
      <w:r w:rsidRPr="002479BE">
        <w:rPr>
          <w:rFonts w:ascii="Times New Roman" w:hAnsi="Times New Roman"/>
          <w:sz w:val="26"/>
          <w:szCs w:val="26"/>
        </w:rPr>
        <w:t xml:space="preserve">(далее – </w:t>
      </w:r>
      <w:r>
        <w:rPr>
          <w:rFonts w:ascii="Times New Roman" w:hAnsi="Times New Roman"/>
          <w:sz w:val="26"/>
          <w:szCs w:val="26"/>
        </w:rPr>
        <w:t>«дорожная карта») согласно приложению.</w:t>
      </w:r>
      <w:r w:rsidRPr="002479BE">
        <w:rPr>
          <w:rFonts w:ascii="Times New Roman" w:hAnsi="Times New Roman"/>
          <w:sz w:val="26"/>
          <w:szCs w:val="26"/>
        </w:rPr>
        <w:t xml:space="preserve"> </w:t>
      </w:r>
    </w:p>
    <w:p w:rsidR="001A154B" w:rsidRDefault="001A154B" w:rsidP="000873E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A154B" w:rsidRPr="00426CD3" w:rsidRDefault="001A154B" w:rsidP="00426C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6CD3">
        <w:rPr>
          <w:rFonts w:ascii="Times New Roman" w:hAnsi="Times New Roman"/>
          <w:sz w:val="26"/>
          <w:szCs w:val="26"/>
        </w:rPr>
        <w:t>Определить Управление культуры, спорта и молодёжной политики Администрации города Когалыма (Е.В.Бережинск</w:t>
      </w:r>
      <w:r>
        <w:rPr>
          <w:rFonts w:ascii="Times New Roman" w:hAnsi="Times New Roman"/>
          <w:sz w:val="26"/>
          <w:szCs w:val="26"/>
        </w:rPr>
        <w:t>ую</w:t>
      </w:r>
      <w:r w:rsidRPr="00426CD3">
        <w:rPr>
          <w:rFonts w:ascii="Times New Roman" w:hAnsi="Times New Roman"/>
          <w:sz w:val="26"/>
          <w:szCs w:val="26"/>
        </w:rPr>
        <w:t>) ответственным за исполнение «дорожной карты».</w:t>
      </w:r>
    </w:p>
    <w:p w:rsidR="001A154B" w:rsidRPr="00426CD3" w:rsidRDefault="001A154B" w:rsidP="00426CD3">
      <w:pPr>
        <w:pStyle w:val="a3"/>
        <w:rPr>
          <w:rFonts w:ascii="Times New Roman" w:hAnsi="Times New Roman"/>
          <w:sz w:val="26"/>
          <w:szCs w:val="26"/>
        </w:rPr>
      </w:pPr>
    </w:p>
    <w:p w:rsidR="001A154B" w:rsidRPr="00426CD3" w:rsidRDefault="001A154B" w:rsidP="00426C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6CD3">
        <w:rPr>
          <w:rFonts w:ascii="Times New Roman" w:hAnsi="Times New Roman"/>
          <w:sz w:val="26"/>
          <w:szCs w:val="26"/>
        </w:rPr>
        <w:t>Управлению культуры</w:t>
      </w:r>
      <w:r>
        <w:rPr>
          <w:rFonts w:ascii="Times New Roman" w:hAnsi="Times New Roman"/>
          <w:sz w:val="26"/>
          <w:szCs w:val="26"/>
        </w:rPr>
        <w:t>, спорта</w:t>
      </w:r>
      <w:r w:rsidRPr="00426CD3">
        <w:rPr>
          <w:rFonts w:ascii="Times New Roman" w:hAnsi="Times New Roman"/>
          <w:sz w:val="26"/>
          <w:szCs w:val="26"/>
        </w:rPr>
        <w:t xml:space="preserve"> и молодёжной политики Администрации города Когалыма (Е.В. Бережинской)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</w:t>
      </w:r>
      <w:r>
        <w:rPr>
          <w:rFonts w:ascii="Times New Roman" w:hAnsi="Times New Roman"/>
          <w:sz w:val="26"/>
          <w:szCs w:val="26"/>
        </w:rPr>
        <w:t>19</w:t>
      </w:r>
      <w:r w:rsidRPr="00426CD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06</w:t>
      </w:r>
      <w:r w:rsidRPr="00426CD3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3</w:t>
      </w:r>
      <w:r w:rsidRPr="00426CD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149</w:t>
      </w:r>
      <w:r w:rsidRPr="00426CD3">
        <w:rPr>
          <w:rFonts w:ascii="Times New Roman" w:hAnsi="Times New Roman"/>
          <w:sz w:val="26"/>
          <w:szCs w:val="26"/>
        </w:rPr>
        <w:t xml:space="preserve">-р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426CD3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правовых актов Ханты-Мансийского автономного округа – Югры» для дальнейшего направления в </w:t>
      </w:r>
      <w:r w:rsidRPr="00426CD3">
        <w:rPr>
          <w:rFonts w:ascii="Times New Roman" w:hAnsi="Times New Roman"/>
          <w:sz w:val="26"/>
          <w:szCs w:val="26"/>
        </w:rPr>
        <w:lastRenderedPageBreak/>
        <w:t>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A154B" w:rsidRPr="00426CD3" w:rsidRDefault="001A154B" w:rsidP="00426CD3">
      <w:pPr>
        <w:pStyle w:val="a3"/>
        <w:rPr>
          <w:rFonts w:ascii="Times New Roman" w:hAnsi="Times New Roman"/>
          <w:sz w:val="26"/>
          <w:szCs w:val="26"/>
        </w:rPr>
      </w:pPr>
    </w:p>
    <w:p w:rsidR="001A154B" w:rsidRPr="00830B31" w:rsidRDefault="001A154B" w:rsidP="00426C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6CD3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приложение к нему в </w:t>
      </w:r>
      <w:r>
        <w:rPr>
          <w:rFonts w:ascii="Times New Roman" w:hAnsi="Times New Roman"/>
          <w:sz w:val="26"/>
          <w:szCs w:val="26"/>
        </w:rPr>
        <w:t>печатном издании</w:t>
      </w:r>
      <w:r w:rsidRPr="00426CD3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сети </w:t>
      </w:r>
      <w:r w:rsidRPr="00830B31">
        <w:rPr>
          <w:rFonts w:ascii="Times New Roman" w:hAnsi="Times New Roman"/>
          <w:sz w:val="26"/>
          <w:szCs w:val="26"/>
        </w:rPr>
        <w:t>Интернет (</w:t>
      </w:r>
      <w:hyperlink r:id="rId10" w:history="1">
        <w:r w:rsidRPr="004706CC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4706CC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706CC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4706CC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4706CC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830B31">
        <w:rPr>
          <w:rFonts w:ascii="Times New Roman" w:hAnsi="Times New Roman"/>
          <w:sz w:val="26"/>
          <w:szCs w:val="26"/>
        </w:rPr>
        <w:t>).</w:t>
      </w:r>
    </w:p>
    <w:p w:rsidR="001A154B" w:rsidRPr="00426CD3" w:rsidRDefault="001A154B" w:rsidP="000873E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A154B" w:rsidRPr="00426CD3" w:rsidRDefault="001A154B" w:rsidP="000873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26CD3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заместителя </w:t>
      </w:r>
      <w:r>
        <w:rPr>
          <w:rFonts w:ascii="Times New Roman" w:hAnsi="Times New Roman"/>
          <w:sz w:val="26"/>
          <w:szCs w:val="26"/>
        </w:rPr>
        <w:t>г</w:t>
      </w:r>
      <w:r w:rsidRPr="00426CD3">
        <w:rPr>
          <w:rFonts w:ascii="Times New Roman" w:hAnsi="Times New Roman"/>
          <w:sz w:val="26"/>
          <w:szCs w:val="26"/>
        </w:rPr>
        <w:t>лавы Администрации города Когалыма О.В.Мартынову.</w:t>
      </w:r>
    </w:p>
    <w:p w:rsidR="001A154B" w:rsidRPr="00426CD3" w:rsidRDefault="001A154B" w:rsidP="00087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087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087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087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В.И.Степура</w:t>
      </w:r>
    </w:p>
    <w:p w:rsidR="001A154B" w:rsidRDefault="001A154B" w:rsidP="00087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087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54B" w:rsidRDefault="001A1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CF6D5A">
      <w:pPr>
        <w:spacing w:after="0" w:line="240" w:lineRule="auto"/>
        <w:rPr>
          <w:rFonts w:ascii="Times New Roman" w:hAnsi="Times New Roman"/>
          <w:b/>
        </w:rPr>
      </w:pPr>
    </w:p>
    <w:p w:rsidR="001A154B" w:rsidRDefault="001A154B" w:rsidP="00B4585E">
      <w:pPr>
        <w:spacing w:after="0" w:line="240" w:lineRule="auto"/>
        <w:rPr>
          <w:rFonts w:ascii="Times New Roman" w:hAnsi="Times New Roman"/>
        </w:rPr>
      </w:pPr>
    </w:p>
    <w:p w:rsidR="001A154B" w:rsidRPr="004174D6" w:rsidRDefault="001A154B" w:rsidP="00B4585E">
      <w:pPr>
        <w:spacing w:after="0" w:line="240" w:lineRule="auto"/>
        <w:rPr>
          <w:rFonts w:ascii="Times New Roman" w:hAnsi="Times New Roman"/>
          <w:color w:val="FFFFFF"/>
        </w:rPr>
      </w:pPr>
      <w:bookmarkStart w:id="0" w:name="_GoBack"/>
      <w:r w:rsidRPr="004174D6">
        <w:rPr>
          <w:rFonts w:ascii="Times New Roman" w:hAnsi="Times New Roman"/>
          <w:color w:val="FFFFFF"/>
        </w:rPr>
        <w:t xml:space="preserve">Согласовано: </w:t>
      </w:r>
    </w:p>
    <w:p w:rsidR="001A154B" w:rsidRPr="004174D6" w:rsidRDefault="001A154B" w:rsidP="00B4585E">
      <w:pPr>
        <w:spacing w:after="0" w:line="240" w:lineRule="auto"/>
        <w:rPr>
          <w:rFonts w:ascii="Times New Roman" w:hAnsi="Times New Roman"/>
          <w:color w:val="FFFFFF"/>
        </w:rPr>
      </w:pPr>
      <w:r w:rsidRPr="004174D6">
        <w:rPr>
          <w:rFonts w:ascii="Times New Roman" w:hAnsi="Times New Roman"/>
          <w:color w:val="FFFFFF"/>
        </w:rPr>
        <w:t>зам. главы Администрации города</w:t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  <w:t>О.В.Мартынова</w:t>
      </w:r>
    </w:p>
    <w:p w:rsidR="001A154B" w:rsidRPr="004174D6" w:rsidRDefault="001A154B" w:rsidP="00B4585E">
      <w:pPr>
        <w:spacing w:after="0" w:line="240" w:lineRule="auto"/>
        <w:rPr>
          <w:rFonts w:ascii="Times New Roman" w:hAnsi="Times New Roman"/>
          <w:color w:val="FFFFFF"/>
        </w:rPr>
      </w:pPr>
      <w:r w:rsidRPr="004174D6">
        <w:rPr>
          <w:rFonts w:ascii="Times New Roman" w:hAnsi="Times New Roman"/>
          <w:color w:val="FFFFFF"/>
        </w:rPr>
        <w:t>председатель КФ</w:t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  <w:t>М.Г.Рыбачок</w:t>
      </w:r>
    </w:p>
    <w:p w:rsidR="001A154B" w:rsidRPr="004174D6" w:rsidRDefault="001A154B" w:rsidP="00B4585E">
      <w:pPr>
        <w:spacing w:after="0" w:line="240" w:lineRule="auto"/>
        <w:rPr>
          <w:rFonts w:ascii="Times New Roman" w:hAnsi="Times New Roman"/>
          <w:color w:val="FFFFFF"/>
        </w:rPr>
      </w:pPr>
      <w:r w:rsidRPr="004174D6">
        <w:rPr>
          <w:rFonts w:ascii="Times New Roman" w:hAnsi="Times New Roman"/>
          <w:color w:val="FFFFFF"/>
        </w:rPr>
        <w:t>начальник УЭ</w:t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  <w:t>В.И.Кравец</w:t>
      </w:r>
    </w:p>
    <w:p w:rsidR="001A154B" w:rsidRPr="004174D6" w:rsidRDefault="001A154B" w:rsidP="00B4585E">
      <w:pPr>
        <w:spacing w:after="0" w:line="240" w:lineRule="auto"/>
        <w:rPr>
          <w:rFonts w:ascii="Times New Roman" w:hAnsi="Times New Roman"/>
          <w:color w:val="FFFFFF"/>
        </w:rPr>
      </w:pPr>
      <w:r w:rsidRPr="004174D6">
        <w:rPr>
          <w:rFonts w:ascii="Times New Roman" w:hAnsi="Times New Roman"/>
          <w:color w:val="FFFFFF"/>
        </w:rPr>
        <w:t>начальник ЮУ</w:t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  <w:t>И.А.Леонтьева</w:t>
      </w:r>
    </w:p>
    <w:p w:rsidR="001A154B" w:rsidRPr="004174D6" w:rsidRDefault="001A154B" w:rsidP="00B4585E">
      <w:pPr>
        <w:spacing w:after="0" w:line="240" w:lineRule="auto"/>
        <w:rPr>
          <w:rFonts w:ascii="Times New Roman" w:hAnsi="Times New Roman"/>
          <w:color w:val="FFFFFF"/>
        </w:rPr>
      </w:pPr>
      <w:r w:rsidRPr="004174D6">
        <w:rPr>
          <w:rFonts w:ascii="Times New Roman" w:hAnsi="Times New Roman"/>
          <w:color w:val="FFFFFF"/>
        </w:rPr>
        <w:t>начальник ОО ЮУ</w:t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  <w:t>С.В.Панова</w:t>
      </w:r>
    </w:p>
    <w:p w:rsidR="001A154B" w:rsidRPr="004174D6" w:rsidRDefault="001A154B" w:rsidP="00B4585E">
      <w:pPr>
        <w:spacing w:after="0" w:line="240" w:lineRule="auto"/>
        <w:rPr>
          <w:rFonts w:ascii="Times New Roman" w:hAnsi="Times New Roman"/>
          <w:color w:val="FFFFFF"/>
        </w:rPr>
      </w:pPr>
      <w:r w:rsidRPr="004174D6">
        <w:rPr>
          <w:rFonts w:ascii="Times New Roman" w:hAnsi="Times New Roman"/>
          <w:color w:val="FFFFFF"/>
        </w:rPr>
        <w:t xml:space="preserve">Подготовлено: </w:t>
      </w:r>
    </w:p>
    <w:p w:rsidR="001A154B" w:rsidRPr="004174D6" w:rsidRDefault="001A154B" w:rsidP="000873E1">
      <w:pPr>
        <w:tabs>
          <w:tab w:val="left" w:pos="2160"/>
          <w:tab w:val="left" w:pos="2340"/>
        </w:tabs>
        <w:spacing w:after="0" w:line="240" w:lineRule="auto"/>
        <w:rPr>
          <w:rFonts w:ascii="Times New Roman" w:hAnsi="Times New Roman"/>
          <w:color w:val="FFFFFF"/>
        </w:rPr>
      </w:pPr>
      <w:r w:rsidRPr="004174D6">
        <w:rPr>
          <w:rFonts w:ascii="Times New Roman" w:hAnsi="Times New Roman"/>
          <w:color w:val="FFFFFF"/>
        </w:rPr>
        <w:t>начальник УКиМП</w:t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</w:r>
      <w:r w:rsidRPr="004174D6">
        <w:rPr>
          <w:rFonts w:ascii="Times New Roman" w:hAnsi="Times New Roman"/>
          <w:color w:val="FFFFFF"/>
        </w:rPr>
        <w:tab/>
        <w:t>Е.В.Бережинская</w:t>
      </w:r>
    </w:p>
    <w:p w:rsidR="001A154B" w:rsidRPr="004174D6" w:rsidRDefault="001A154B" w:rsidP="00B4585E">
      <w:pPr>
        <w:spacing w:after="0" w:line="240" w:lineRule="auto"/>
        <w:rPr>
          <w:rFonts w:ascii="Times New Roman" w:hAnsi="Times New Roman"/>
          <w:color w:val="FFFFFF"/>
        </w:rPr>
      </w:pPr>
    </w:p>
    <w:p w:rsidR="001A154B" w:rsidRPr="004174D6" w:rsidRDefault="001A154B" w:rsidP="00B4585E">
      <w:pPr>
        <w:spacing w:after="0" w:line="240" w:lineRule="auto"/>
        <w:rPr>
          <w:rFonts w:ascii="Times New Roman" w:hAnsi="Times New Roman"/>
          <w:color w:val="FFFFFF"/>
        </w:rPr>
      </w:pPr>
      <w:r w:rsidRPr="004174D6">
        <w:rPr>
          <w:rFonts w:ascii="Times New Roman" w:hAnsi="Times New Roman"/>
          <w:color w:val="FFFFFF"/>
        </w:rPr>
        <w:t>Разослать: О.В. Мартынова, Т.И.Черных, В.И.Кравец, И.А.Леонтьева, Е.В.Бережинская, газета, УпоИР, Сабуров.</w:t>
      </w:r>
    </w:p>
    <w:bookmarkEnd w:id="0"/>
    <w:p w:rsidR="001A154B" w:rsidRPr="00942738" w:rsidRDefault="001A154B" w:rsidP="000873E1">
      <w:pPr>
        <w:pStyle w:val="ConsPlusTitle"/>
        <w:ind w:left="4860"/>
        <w:rPr>
          <w:rFonts w:ascii="Times New Roman" w:hAnsi="Times New Roman" w:cs="Times New Roman"/>
          <w:b w:val="0"/>
          <w:sz w:val="26"/>
          <w:szCs w:val="26"/>
        </w:rPr>
      </w:pPr>
      <w:r w:rsidRPr="00942738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</w:p>
    <w:p w:rsidR="001A154B" w:rsidRPr="00942738" w:rsidRDefault="001A154B" w:rsidP="000873E1">
      <w:pPr>
        <w:pStyle w:val="ConsPlusTitle"/>
        <w:ind w:left="4860"/>
        <w:rPr>
          <w:rFonts w:ascii="Times New Roman" w:hAnsi="Times New Roman" w:cs="Times New Roman"/>
          <w:b w:val="0"/>
          <w:sz w:val="26"/>
          <w:szCs w:val="26"/>
        </w:rPr>
      </w:pPr>
      <w:r w:rsidRPr="00942738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Администрации </w:t>
      </w:r>
    </w:p>
    <w:p w:rsidR="001A154B" w:rsidRPr="00942738" w:rsidRDefault="001A154B" w:rsidP="000873E1">
      <w:pPr>
        <w:pStyle w:val="ConsPlusTitle"/>
        <w:ind w:left="4860"/>
        <w:rPr>
          <w:rFonts w:ascii="Times New Roman" w:hAnsi="Times New Roman" w:cs="Times New Roman"/>
          <w:b w:val="0"/>
          <w:sz w:val="26"/>
          <w:szCs w:val="26"/>
        </w:rPr>
      </w:pPr>
      <w:r w:rsidRPr="00942738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1A154B" w:rsidRPr="00942738" w:rsidRDefault="001A154B" w:rsidP="000873E1">
      <w:pPr>
        <w:pStyle w:val="ConsPlusTitle"/>
        <w:ind w:left="4860"/>
        <w:rPr>
          <w:rFonts w:ascii="Times New Roman" w:hAnsi="Times New Roman" w:cs="Times New Roman"/>
          <w:b w:val="0"/>
          <w:sz w:val="26"/>
          <w:szCs w:val="26"/>
        </w:rPr>
      </w:pPr>
      <w:r w:rsidRPr="00942738">
        <w:rPr>
          <w:rFonts w:ascii="Times New Roman" w:hAnsi="Times New Roman" w:cs="Times New Roman"/>
          <w:b w:val="0"/>
          <w:sz w:val="26"/>
          <w:szCs w:val="26"/>
        </w:rPr>
        <w:t>от</w:t>
      </w:r>
      <w:r w:rsidR="00D37516">
        <w:rPr>
          <w:rFonts w:ascii="Times New Roman" w:hAnsi="Times New Roman" w:cs="Times New Roman"/>
          <w:b w:val="0"/>
          <w:sz w:val="26"/>
          <w:szCs w:val="26"/>
        </w:rPr>
        <w:t xml:space="preserve"> 04.07.2013 </w:t>
      </w:r>
      <w:r w:rsidRPr="00942738">
        <w:rPr>
          <w:rFonts w:ascii="Times New Roman" w:hAnsi="Times New Roman" w:cs="Times New Roman"/>
          <w:b w:val="0"/>
          <w:sz w:val="26"/>
          <w:szCs w:val="26"/>
        </w:rPr>
        <w:t>№</w:t>
      </w:r>
      <w:r w:rsidR="00D37516">
        <w:rPr>
          <w:rFonts w:ascii="Times New Roman" w:hAnsi="Times New Roman" w:cs="Times New Roman"/>
          <w:b w:val="0"/>
          <w:sz w:val="26"/>
          <w:szCs w:val="26"/>
        </w:rPr>
        <w:t>2016</w:t>
      </w:r>
    </w:p>
    <w:p w:rsidR="001A154B" w:rsidRPr="000873E1" w:rsidRDefault="001A154B" w:rsidP="00942738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1A154B" w:rsidRPr="000873E1" w:rsidRDefault="001A154B" w:rsidP="00942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73E1">
        <w:rPr>
          <w:rFonts w:ascii="Times New Roman" w:hAnsi="Times New Roman" w:cs="Times New Roman"/>
          <w:b w:val="0"/>
          <w:sz w:val="26"/>
          <w:szCs w:val="26"/>
        </w:rPr>
        <w:t>ПЛАН</w:t>
      </w:r>
    </w:p>
    <w:p w:rsidR="001A154B" w:rsidRPr="000873E1" w:rsidRDefault="001A154B" w:rsidP="00942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73E1">
        <w:rPr>
          <w:rFonts w:ascii="Times New Roman" w:hAnsi="Times New Roman" w:cs="Times New Roman"/>
          <w:b w:val="0"/>
          <w:sz w:val="26"/>
          <w:szCs w:val="26"/>
        </w:rPr>
        <w:t xml:space="preserve">МЕРОПРИЯТИЙ («ДОРОЖНАЯ КАРТА») </w:t>
      </w:r>
    </w:p>
    <w:p w:rsidR="001A154B" w:rsidRPr="000873E1" w:rsidRDefault="001A154B" w:rsidP="00942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73E1">
        <w:rPr>
          <w:rFonts w:ascii="Times New Roman" w:hAnsi="Times New Roman" w:cs="Times New Roman"/>
          <w:b w:val="0"/>
          <w:sz w:val="26"/>
          <w:szCs w:val="26"/>
        </w:rPr>
        <w:t>«ИЗМЕНЕНИЯ, НАПРАВЛЕННЫЕ НА ПОВЫШЕНИЕ ЭФФЕКТИВНОСТИ</w:t>
      </w:r>
    </w:p>
    <w:p w:rsidR="001A154B" w:rsidRPr="000873E1" w:rsidRDefault="001A154B" w:rsidP="00942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73E1">
        <w:rPr>
          <w:rFonts w:ascii="Times New Roman" w:hAnsi="Times New Roman" w:cs="Times New Roman"/>
          <w:b w:val="0"/>
          <w:sz w:val="26"/>
          <w:szCs w:val="26"/>
        </w:rPr>
        <w:t>СФЕРЫ КУЛЬТУРЫ ГОРОДА КОГАЛЫМА»</w:t>
      </w:r>
    </w:p>
    <w:p w:rsidR="001A154B" w:rsidRPr="00942738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154B" w:rsidRPr="00942738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Цели разработки «</w:t>
      </w:r>
      <w:r w:rsidRPr="00942738">
        <w:rPr>
          <w:rFonts w:ascii="Times New Roman" w:hAnsi="Times New Roman"/>
          <w:sz w:val="26"/>
          <w:szCs w:val="26"/>
        </w:rPr>
        <w:t>дорожной карты</w:t>
      </w:r>
      <w:r>
        <w:rPr>
          <w:rFonts w:ascii="Times New Roman" w:hAnsi="Times New Roman"/>
          <w:sz w:val="26"/>
          <w:szCs w:val="26"/>
        </w:rPr>
        <w:t>»</w:t>
      </w:r>
    </w:p>
    <w:p w:rsidR="001A154B" w:rsidRPr="00942738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Целями плана мероприятий («</w:t>
      </w:r>
      <w:r w:rsidRPr="00942738">
        <w:rPr>
          <w:rFonts w:ascii="Times New Roman" w:hAnsi="Times New Roman"/>
          <w:sz w:val="26"/>
          <w:szCs w:val="26"/>
        </w:rPr>
        <w:t>дорожной карты</w:t>
      </w:r>
      <w:r>
        <w:rPr>
          <w:rFonts w:ascii="Times New Roman" w:hAnsi="Times New Roman"/>
          <w:sz w:val="26"/>
          <w:szCs w:val="26"/>
        </w:rPr>
        <w:t>») «</w:t>
      </w:r>
      <w:r w:rsidRPr="00942738">
        <w:rPr>
          <w:rFonts w:ascii="Times New Roman" w:hAnsi="Times New Roman"/>
          <w:sz w:val="26"/>
          <w:szCs w:val="26"/>
        </w:rPr>
        <w:t>Изменения, направленные на повышение эффективности сферы культуры</w:t>
      </w:r>
      <w:r>
        <w:rPr>
          <w:rFonts w:ascii="Times New Roman" w:hAnsi="Times New Roman"/>
          <w:sz w:val="26"/>
          <w:szCs w:val="26"/>
        </w:rPr>
        <w:t xml:space="preserve"> города Когалыма» (далее – «</w:t>
      </w:r>
      <w:r w:rsidRPr="00942738">
        <w:rPr>
          <w:rFonts w:ascii="Times New Roman" w:hAnsi="Times New Roman"/>
          <w:sz w:val="26"/>
          <w:szCs w:val="26"/>
        </w:rPr>
        <w:t>дорожная карта</w:t>
      </w:r>
      <w:r>
        <w:rPr>
          <w:rFonts w:ascii="Times New Roman" w:hAnsi="Times New Roman"/>
          <w:sz w:val="26"/>
          <w:szCs w:val="26"/>
        </w:rPr>
        <w:t>»</w:t>
      </w:r>
      <w:r w:rsidRPr="00942738">
        <w:rPr>
          <w:rFonts w:ascii="Times New Roman" w:hAnsi="Times New Roman"/>
          <w:sz w:val="26"/>
          <w:szCs w:val="26"/>
        </w:rPr>
        <w:t>) являются: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качества муниципальных услуг, оказываемых муниципальными учреждениями культуры города Когалыма (далее - Учреждение), подведомственными Управлению культуры, спорта  и молодёжной политики Администрации города Когалыма (далее – Управление), соответствующих современным потребностям общества и предусматривающих творческое развитие способностей, самореализацию, духовное обогащение населения города Когалыма;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совершенствование системы оплаты труда работников У</w:t>
      </w:r>
      <w:r w:rsidRPr="00942738">
        <w:rPr>
          <w:rFonts w:ascii="Times New Roman" w:hAnsi="Times New Roman"/>
          <w:sz w:val="26"/>
          <w:szCs w:val="26"/>
        </w:rPr>
        <w:t>чреждений</w:t>
      </w:r>
      <w:r>
        <w:rPr>
          <w:rFonts w:ascii="Times New Roman" w:hAnsi="Times New Roman"/>
          <w:sz w:val="26"/>
          <w:szCs w:val="26"/>
        </w:rPr>
        <w:t>,</w:t>
      </w:r>
      <w:r w:rsidRPr="009427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зависимости от их эффективного труда, как вклада в общие результаты деятельности Учреждения</w:t>
      </w:r>
      <w:r w:rsidRPr="00942738">
        <w:rPr>
          <w:rFonts w:ascii="Times New Roman" w:hAnsi="Times New Roman"/>
          <w:sz w:val="26"/>
          <w:szCs w:val="26"/>
        </w:rPr>
        <w:t>;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2738">
        <w:rPr>
          <w:rFonts w:ascii="Times New Roman" w:hAnsi="Times New Roman"/>
          <w:sz w:val="26"/>
          <w:szCs w:val="26"/>
        </w:rPr>
        <w:t xml:space="preserve">развитие и сохранение кадрового потенциала </w:t>
      </w:r>
      <w:r>
        <w:rPr>
          <w:rFonts w:ascii="Times New Roman" w:hAnsi="Times New Roman"/>
          <w:sz w:val="26"/>
          <w:szCs w:val="26"/>
        </w:rPr>
        <w:t>Учреждений</w:t>
      </w:r>
      <w:r w:rsidRPr="00942738">
        <w:rPr>
          <w:rFonts w:ascii="Times New Roman" w:hAnsi="Times New Roman"/>
          <w:sz w:val="26"/>
          <w:szCs w:val="26"/>
        </w:rPr>
        <w:t>;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2738">
        <w:rPr>
          <w:rFonts w:ascii="Times New Roman" w:hAnsi="Times New Roman"/>
          <w:sz w:val="26"/>
          <w:szCs w:val="26"/>
        </w:rPr>
        <w:t>повышение престижности и привлекательности профессий в сфере культуры;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2738">
        <w:rPr>
          <w:rFonts w:ascii="Times New Roman" w:hAnsi="Times New Roman"/>
          <w:sz w:val="26"/>
          <w:szCs w:val="26"/>
        </w:rPr>
        <w:t xml:space="preserve">сохранение культурного и исторического наследия народов Российской Федерации, обеспечение доступа </w:t>
      </w:r>
      <w:r>
        <w:rPr>
          <w:rFonts w:ascii="Times New Roman" w:hAnsi="Times New Roman"/>
          <w:sz w:val="26"/>
          <w:szCs w:val="26"/>
        </w:rPr>
        <w:t>населения города Когалыма</w:t>
      </w:r>
      <w:r w:rsidRPr="00942738">
        <w:rPr>
          <w:rFonts w:ascii="Times New Roman" w:hAnsi="Times New Roman"/>
          <w:sz w:val="26"/>
          <w:szCs w:val="26"/>
        </w:rPr>
        <w:t xml:space="preserve"> к культурным ценностям и участию в культурной жизни, реализация творческого потенциала нации;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2738">
        <w:rPr>
          <w:rFonts w:ascii="Times New Roman" w:hAnsi="Times New Roman"/>
          <w:sz w:val="26"/>
          <w:szCs w:val="26"/>
        </w:rPr>
        <w:t>создание благоприятных условий для устойчивого развития сферы культуры.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54B" w:rsidRPr="00942738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942738">
        <w:rPr>
          <w:rFonts w:ascii="Times New Roman" w:hAnsi="Times New Roman"/>
          <w:sz w:val="26"/>
          <w:szCs w:val="26"/>
        </w:rPr>
        <w:t>. Проведение структурных реформ в сфере культуры</w:t>
      </w:r>
    </w:p>
    <w:p w:rsidR="001A154B" w:rsidRPr="00942738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целями запланировано проведение структурных реформ в сфере культуры на период с 2013 по 2018 годы. 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2738">
        <w:rPr>
          <w:rFonts w:ascii="Times New Roman" w:hAnsi="Times New Roman"/>
          <w:sz w:val="26"/>
          <w:szCs w:val="26"/>
        </w:rPr>
        <w:t>В рамках структурных реформ предусматривается: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2738">
        <w:rPr>
          <w:rFonts w:ascii="Times New Roman" w:hAnsi="Times New Roman"/>
          <w:sz w:val="26"/>
          <w:szCs w:val="26"/>
        </w:rPr>
        <w:t xml:space="preserve">повышение качества и расширение спектра </w:t>
      </w:r>
      <w:r>
        <w:rPr>
          <w:rFonts w:ascii="Times New Roman" w:hAnsi="Times New Roman"/>
          <w:sz w:val="26"/>
          <w:szCs w:val="26"/>
        </w:rPr>
        <w:t>муниципальных</w:t>
      </w:r>
      <w:r w:rsidRPr="00942738">
        <w:rPr>
          <w:rFonts w:ascii="Times New Roman" w:hAnsi="Times New Roman"/>
          <w:sz w:val="26"/>
          <w:szCs w:val="26"/>
        </w:rPr>
        <w:t xml:space="preserve"> услуг в сфере культуры;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E67A4">
        <w:rPr>
          <w:rFonts w:ascii="Times New Roman" w:hAnsi="Times New Roman"/>
          <w:sz w:val="26"/>
          <w:szCs w:val="26"/>
        </w:rPr>
        <w:t>обеспечение доступности к культурному продукту путем информатизации отрасли;</w:t>
      </w: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798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содействие </w:t>
      </w:r>
      <w:r w:rsidRPr="009C7985">
        <w:rPr>
          <w:rFonts w:ascii="Times New Roman" w:hAnsi="Times New Roman"/>
          <w:sz w:val="26"/>
          <w:szCs w:val="26"/>
        </w:rPr>
        <w:t>формировани</w:t>
      </w:r>
      <w:r>
        <w:rPr>
          <w:rFonts w:ascii="Times New Roman" w:hAnsi="Times New Roman"/>
          <w:sz w:val="26"/>
          <w:szCs w:val="26"/>
        </w:rPr>
        <w:t xml:space="preserve">ю </w:t>
      </w:r>
      <w:r w:rsidRPr="009C7985">
        <w:rPr>
          <w:rFonts w:ascii="Times New Roman" w:hAnsi="Times New Roman"/>
          <w:sz w:val="26"/>
          <w:szCs w:val="26"/>
        </w:rPr>
        <w:t>конкурентной среды в отрасли культуры пут</w:t>
      </w:r>
      <w:r>
        <w:rPr>
          <w:rFonts w:ascii="Times New Roman" w:hAnsi="Times New Roman"/>
          <w:sz w:val="26"/>
          <w:szCs w:val="26"/>
        </w:rPr>
        <w:t>ё</w:t>
      </w:r>
      <w:r w:rsidRPr="009C7985">
        <w:rPr>
          <w:rFonts w:ascii="Times New Roman" w:hAnsi="Times New Roman"/>
          <w:sz w:val="26"/>
          <w:szCs w:val="26"/>
        </w:rPr>
        <w:t xml:space="preserve">м расширения </w:t>
      </w:r>
      <w:r>
        <w:rPr>
          <w:rFonts w:ascii="Times New Roman" w:hAnsi="Times New Roman"/>
          <w:sz w:val="26"/>
          <w:szCs w:val="26"/>
        </w:rPr>
        <w:t>участия в целевых программах, конкурсах на получение г</w:t>
      </w:r>
      <w:r w:rsidRPr="009C7985">
        <w:rPr>
          <w:rFonts w:ascii="Times New Roman" w:hAnsi="Times New Roman"/>
          <w:sz w:val="26"/>
          <w:szCs w:val="26"/>
        </w:rPr>
        <w:t>рантовой поддержки творческих проектов (организация участия учреждений культуры в конкурсах проектов на получение Грантов);</w:t>
      </w: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942738">
        <w:rPr>
          <w:rFonts w:ascii="Times New Roman" w:hAnsi="Times New Roman"/>
          <w:sz w:val="26"/>
          <w:szCs w:val="26"/>
        </w:rPr>
        <w:t xml:space="preserve">создание условий для </w:t>
      </w:r>
      <w:r>
        <w:rPr>
          <w:rFonts w:ascii="Times New Roman" w:hAnsi="Times New Roman"/>
          <w:sz w:val="26"/>
          <w:szCs w:val="26"/>
        </w:rPr>
        <w:t>наиболее полной профессиональной самореализации работников Учреждений;</w:t>
      </w: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создание условий для </w:t>
      </w:r>
      <w:r w:rsidRPr="00942738">
        <w:rPr>
          <w:rFonts w:ascii="Times New Roman" w:hAnsi="Times New Roman"/>
          <w:sz w:val="26"/>
          <w:szCs w:val="26"/>
        </w:rPr>
        <w:t xml:space="preserve">творческой самореализации </w:t>
      </w:r>
      <w:r>
        <w:rPr>
          <w:rFonts w:ascii="Times New Roman" w:hAnsi="Times New Roman"/>
          <w:sz w:val="26"/>
          <w:szCs w:val="26"/>
        </w:rPr>
        <w:t>населения города Когалыма путём совершенствования систем культурно-просветительской работы, организации досуга в сфере культуры</w:t>
      </w:r>
      <w:r w:rsidRPr="00942738">
        <w:rPr>
          <w:rFonts w:ascii="Times New Roman" w:hAnsi="Times New Roman"/>
          <w:sz w:val="26"/>
          <w:szCs w:val="26"/>
        </w:rPr>
        <w:t>;</w:t>
      </w: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7985">
        <w:rPr>
          <w:rFonts w:ascii="Times New Roman" w:hAnsi="Times New Roman"/>
          <w:sz w:val="26"/>
          <w:szCs w:val="26"/>
        </w:rPr>
        <w:t>- популяризация территори</w:t>
      </w:r>
      <w:r>
        <w:rPr>
          <w:rFonts w:ascii="Times New Roman" w:hAnsi="Times New Roman"/>
          <w:sz w:val="26"/>
          <w:szCs w:val="26"/>
        </w:rPr>
        <w:t>и</w:t>
      </w:r>
      <w:r w:rsidRPr="009C7985">
        <w:rPr>
          <w:rFonts w:ascii="Times New Roman" w:hAnsi="Times New Roman"/>
          <w:sz w:val="26"/>
          <w:szCs w:val="26"/>
        </w:rPr>
        <w:t xml:space="preserve"> города Когалыма во внутреннем и внешнем культ</w:t>
      </w:r>
      <w:r>
        <w:rPr>
          <w:rFonts w:ascii="Times New Roman" w:hAnsi="Times New Roman"/>
          <w:sz w:val="26"/>
          <w:szCs w:val="26"/>
        </w:rPr>
        <w:t>урном пространстве.</w:t>
      </w:r>
    </w:p>
    <w:p w:rsidR="001A154B" w:rsidRPr="00942738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Pr="00942738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942738">
        <w:rPr>
          <w:rFonts w:ascii="Times New Roman" w:hAnsi="Times New Roman"/>
          <w:sz w:val="26"/>
          <w:szCs w:val="26"/>
        </w:rPr>
        <w:t>. Целевые показатели (индикаторы) развития сферы</w:t>
      </w:r>
    </w:p>
    <w:p w:rsidR="001A154B" w:rsidRPr="00942738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42738">
        <w:rPr>
          <w:rFonts w:ascii="Times New Roman" w:hAnsi="Times New Roman"/>
          <w:sz w:val="26"/>
          <w:szCs w:val="26"/>
        </w:rPr>
        <w:t>культуры и меры, обеспечивающие их достижение</w:t>
      </w:r>
    </w:p>
    <w:p w:rsidR="001A154B" w:rsidRPr="00942738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Pr="00942738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942738">
        <w:rPr>
          <w:rFonts w:ascii="Times New Roman" w:hAnsi="Times New Roman"/>
          <w:sz w:val="26"/>
          <w:szCs w:val="26"/>
        </w:rPr>
        <w:t>1. С ростом эффективности и качества оказываемых услуг будут достигнуты следующие целевые показатели (индикаторы):</w:t>
      </w: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1B80">
        <w:rPr>
          <w:rFonts w:ascii="Times New Roman" w:hAnsi="Times New Roman"/>
          <w:sz w:val="26"/>
          <w:szCs w:val="26"/>
        </w:rPr>
        <w:t>1) увеличение количества посещений театрально-концертных мероприятий (по сравнению с предыдущим годом):</w:t>
      </w:r>
    </w:p>
    <w:p w:rsidR="001A154B" w:rsidRPr="00511B80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54B" w:rsidRPr="00511B80" w:rsidRDefault="001A154B" w:rsidP="004139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11B80">
        <w:rPr>
          <w:rFonts w:ascii="Times New Roman" w:hAnsi="Times New Roman"/>
          <w:sz w:val="26"/>
          <w:szCs w:val="26"/>
        </w:rPr>
        <w:t>(процентов)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2,6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ВЦП</w:t>
            </w:r>
          </w:p>
        </w:tc>
      </w:tr>
    </w:tbl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61ECC">
        <w:rPr>
          <w:rFonts w:ascii="Times New Roman" w:hAnsi="Times New Roman"/>
          <w:sz w:val="26"/>
          <w:szCs w:val="26"/>
        </w:rPr>
        <w:t>) увеличение доли представленных (во всех формах) зрителю музейных предметов в общем количестве музейных предметов основного фонда:</w:t>
      </w:r>
    </w:p>
    <w:p w:rsidR="001A154B" w:rsidRPr="00C61ECC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9A5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1ECC">
        <w:rPr>
          <w:rFonts w:ascii="Times New Roman" w:hAnsi="Times New Roman"/>
          <w:sz w:val="26"/>
          <w:szCs w:val="26"/>
        </w:rPr>
        <w:t>(процентов)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ВЦП, ЦП</w:t>
            </w:r>
          </w:p>
        </w:tc>
      </w:tr>
    </w:tbl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p w:rsidR="001A154B" w:rsidRPr="00C61ECC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61ECC">
        <w:rPr>
          <w:rFonts w:ascii="Times New Roman" w:hAnsi="Times New Roman"/>
          <w:sz w:val="26"/>
          <w:szCs w:val="26"/>
        </w:rPr>
        <w:t>) увеличение посещаемости музе</w:t>
      </w:r>
      <w:r>
        <w:rPr>
          <w:rFonts w:ascii="Times New Roman" w:hAnsi="Times New Roman"/>
          <w:sz w:val="26"/>
          <w:szCs w:val="26"/>
        </w:rPr>
        <w:t>я города Когалыма</w:t>
      </w:r>
      <w:r w:rsidRPr="00C61ECC">
        <w:rPr>
          <w:rFonts w:ascii="Times New Roman" w:hAnsi="Times New Roman"/>
          <w:sz w:val="26"/>
          <w:szCs w:val="26"/>
        </w:rPr>
        <w:t>:</w:t>
      </w:r>
    </w:p>
    <w:p w:rsidR="001A154B" w:rsidRPr="00C61ECC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9A5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61ECC">
        <w:rPr>
          <w:rFonts w:ascii="Times New Roman" w:hAnsi="Times New Roman"/>
          <w:sz w:val="26"/>
          <w:szCs w:val="26"/>
        </w:rPr>
        <w:t>(посещений на 1 жителя в год)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0,41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0,43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0,46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ЦП</w:t>
            </w:r>
          </w:p>
        </w:tc>
      </w:tr>
    </w:tbl>
    <w:p w:rsidR="001A154B" w:rsidRDefault="001A154B" w:rsidP="00C61E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0"/>
          <w:szCs w:val="20"/>
        </w:rPr>
      </w:pP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FA1C9A">
        <w:rPr>
          <w:rFonts w:ascii="Times New Roman" w:hAnsi="Times New Roman"/>
          <w:sz w:val="26"/>
          <w:szCs w:val="26"/>
        </w:rPr>
        <w:t>) увеличение численности участников культурно-досуговых мероприятий (по сравнению с предыдущим годом):</w:t>
      </w:r>
    </w:p>
    <w:p w:rsidR="001A154B" w:rsidRPr="00FA1C9A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Pr="00FA1C9A" w:rsidRDefault="001A154B" w:rsidP="009A5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A1C9A">
        <w:rPr>
          <w:rFonts w:ascii="Times New Roman" w:hAnsi="Times New Roman"/>
          <w:sz w:val="26"/>
          <w:szCs w:val="26"/>
        </w:rPr>
        <w:t>(процентов)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ВЦП</w:t>
            </w:r>
          </w:p>
        </w:tc>
      </w:tr>
    </w:tbl>
    <w:p w:rsidR="001A154B" w:rsidRPr="00C61ECC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A3604B">
        <w:rPr>
          <w:rFonts w:ascii="Times New Roman" w:hAnsi="Times New Roman"/>
          <w:sz w:val="26"/>
          <w:szCs w:val="26"/>
        </w:rPr>
        <w:t xml:space="preserve">) повышение уровня удовлетворенности </w:t>
      </w:r>
      <w:r>
        <w:rPr>
          <w:rFonts w:ascii="Times New Roman" w:hAnsi="Times New Roman"/>
          <w:sz w:val="26"/>
          <w:szCs w:val="26"/>
        </w:rPr>
        <w:t>жителей города Когалыма</w:t>
      </w:r>
      <w:r w:rsidRPr="00A3604B">
        <w:rPr>
          <w:rFonts w:ascii="Times New Roman" w:hAnsi="Times New Roman"/>
          <w:sz w:val="26"/>
          <w:szCs w:val="26"/>
        </w:rPr>
        <w:t xml:space="preserve"> качеством предоставления государственных и муниципальных услуг в сфере культуры:</w:t>
      </w:r>
    </w:p>
    <w:p w:rsidR="001A154B" w:rsidRPr="00A360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9A5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3604B">
        <w:rPr>
          <w:rFonts w:ascii="Times New Roman" w:hAnsi="Times New Roman"/>
          <w:sz w:val="26"/>
          <w:szCs w:val="26"/>
        </w:rPr>
        <w:t>(процентов)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ВЦП, ЦП</w:t>
            </w:r>
          </w:p>
        </w:tc>
      </w:tr>
    </w:tbl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A154B" w:rsidRPr="00F35A6A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F35A6A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Обеспечение подключения общедоступных библиотек города Когалыма к сети «Интернет»</w:t>
      </w:r>
      <w:r w:rsidRPr="00F35A6A">
        <w:rPr>
          <w:rFonts w:ascii="Times New Roman" w:hAnsi="Times New Roman"/>
          <w:sz w:val="26"/>
          <w:szCs w:val="26"/>
        </w:rPr>
        <w:t>:</w:t>
      </w:r>
    </w:p>
    <w:p w:rsidR="001A154B" w:rsidRDefault="001A154B" w:rsidP="009A5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154B" w:rsidRDefault="001A154B" w:rsidP="009A5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35A6A">
        <w:rPr>
          <w:rFonts w:ascii="Times New Roman" w:hAnsi="Times New Roman"/>
          <w:sz w:val="26"/>
          <w:szCs w:val="26"/>
        </w:rPr>
        <w:t>(процентов)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ЦП</w:t>
            </w:r>
          </w:p>
        </w:tc>
      </w:tr>
    </w:tbl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Pr="000D46EE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F35A6A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обеспечение работы сайта Муниципального бюджетного учреждения «Музейно-выставочный центр»</w:t>
      </w:r>
      <w:r w:rsidRPr="000D46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города Когалыма</w:t>
      </w:r>
      <w:r w:rsidRPr="00F35A6A">
        <w:rPr>
          <w:rFonts w:ascii="Times New Roman" w:hAnsi="Times New Roman"/>
          <w:sz w:val="26"/>
          <w:szCs w:val="26"/>
        </w:rPr>
        <w:t xml:space="preserve"> в сети </w:t>
      </w:r>
      <w:r>
        <w:rPr>
          <w:rFonts w:ascii="Times New Roman" w:hAnsi="Times New Roman"/>
          <w:sz w:val="26"/>
          <w:szCs w:val="26"/>
        </w:rPr>
        <w:t>«</w:t>
      </w:r>
      <w:r w:rsidRPr="00F35A6A">
        <w:rPr>
          <w:rFonts w:ascii="Times New Roman" w:hAnsi="Times New Roman"/>
          <w:sz w:val="26"/>
          <w:szCs w:val="26"/>
        </w:rPr>
        <w:t>Интернет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0D46EE">
        <w:rPr>
          <w:rFonts w:ascii="Times New Roman" w:hAnsi="Times New Roman"/>
          <w:sz w:val="26"/>
          <w:szCs w:val="26"/>
        </w:rPr>
        <w:t>(</w:t>
      </w:r>
      <w:hyperlink r:id="rId11" w:history="1">
        <w:r w:rsidRPr="000D46E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0D46EE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D46E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museumkogalym</w:t>
        </w:r>
        <w:r w:rsidRPr="000D46EE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0D46E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0D46EE">
        <w:rPr>
          <w:rFonts w:ascii="Times New Roman" w:hAnsi="Times New Roman"/>
          <w:sz w:val="26"/>
          <w:szCs w:val="26"/>
        </w:rPr>
        <w:t>):</w:t>
      </w:r>
    </w:p>
    <w:p w:rsidR="001A154B" w:rsidRPr="00F35A6A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9A5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35A6A">
        <w:rPr>
          <w:rFonts w:ascii="Times New Roman" w:hAnsi="Times New Roman"/>
          <w:sz w:val="26"/>
          <w:szCs w:val="26"/>
        </w:rPr>
        <w:t>(процентов)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ЦП, средства учреждения</w:t>
            </w:r>
          </w:p>
        </w:tc>
      </w:tr>
    </w:tbl>
    <w:p w:rsidR="001A154B" w:rsidRPr="00F35A6A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A154B" w:rsidRPr="00474F23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74F23">
        <w:rPr>
          <w:rFonts w:ascii="Times New Roman" w:hAnsi="Times New Roman"/>
          <w:sz w:val="26"/>
          <w:szCs w:val="26"/>
        </w:rPr>
        <w:t>8) увеличение доли доходов от платных услуг, оказываемых Учреждениями:</w:t>
      </w:r>
    </w:p>
    <w:p w:rsidR="001A154B" w:rsidRPr="00474F23" w:rsidRDefault="001A154B" w:rsidP="00474F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7,0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7,4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ВЦП</w:t>
            </w:r>
          </w:p>
        </w:tc>
      </w:tr>
    </w:tbl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Pr="00F35A6A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F35A6A">
        <w:rPr>
          <w:rFonts w:ascii="Times New Roman" w:hAnsi="Times New Roman"/>
          <w:sz w:val="26"/>
          <w:szCs w:val="26"/>
        </w:rPr>
        <w:t xml:space="preserve">) увеличение количества выставочных проектов, осуществляемых в </w:t>
      </w:r>
      <w:r>
        <w:rPr>
          <w:rFonts w:ascii="Times New Roman" w:hAnsi="Times New Roman"/>
          <w:sz w:val="26"/>
          <w:szCs w:val="26"/>
        </w:rPr>
        <w:t>городе Когалыме</w:t>
      </w:r>
      <w:r w:rsidRPr="00F35A6A">
        <w:rPr>
          <w:rFonts w:ascii="Times New Roman" w:hAnsi="Times New Roman"/>
          <w:sz w:val="26"/>
          <w:szCs w:val="26"/>
        </w:rPr>
        <w:t>:</w:t>
      </w:r>
    </w:p>
    <w:p w:rsidR="001A154B" w:rsidRPr="00F35A6A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9A5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35A6A">
        <w:rPr>
          <w:rFonts w:ascii="Times New Roman" w:hAnsi="Times New Roman"/>
          <w:sz w:val="26"/>
          <w:szCs w:val="26"/>
        </w:rPr>
        <w:t>(процентов по отношению к 2012 году)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ВЦП, ЦП</w:t>
            </w:r>
          </w:p>
        </w:tc>
      </w:tr>
    </w:tbl>
    <w:p w:rsidR="001A154B" w:rsidRDefault="001A154B" w:rsidP="00A857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Pr="00F35A6A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35A6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Pr="00F35A6A">
        <w:rPr>
          <w:rFonts w:ascii="Times New Roman" w:hAnsi="Times New Roman"/>
          <w:sz w:val="26"/>
          <w:szCs w:val="26"/>
        </w:rPr>
        <w:t>) увеличение доли детей, привлекаемых к участию в творческих мероприятиях, в общем числе детей:</w:t>
      </w:r>
    </w:p>
    <w:p w:rsidR="001A154B" w:rsidRPr="00F35A6A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Default="001A154B" w:rsidP="009A5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35A6A">
        <w:rPr>
          <w:rFonts w:ascii="Times New Roman" w:hAnsi="Times New Roman"/>
          <w:sz w:val="26"/>
          <w:szCs w:val="26"/>
        </w:rPr>
        <w:t>(процентов)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55"/>
        <w:gridCol w:w="1156"/>
        <w:gridCol w:w="1156"/>
        <w:gridCol w:w="1156"/>
        <w:gridCol w:w="1156"/>
        <w:gridCol w:w="1156"/>
        <w:gridCol w:w="2068"/>
      </w:tblGrid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Источник финансирования</w:t>
            </w:r>
          </w:p>
        </w:tc>
      </w:tr>
      <w:tr w:rsidR="001A154B" w:rsidRPr="00047038" w:rsidTr="00047038">
        <w:tc>
          <w:tcPr>
            <w:tcW w:w="1366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368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ВЦП</w:t>
            </w:r>
          </w:p>
        </w:tc>
      </w:tr>
    </w:tbl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Pr="00F35A6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</w:t>
      </w:r>
      <w:r w:rsidRPr="00F35A6A">
        <w:rPr>
          <w:rFonts w:ascii="Times New Roman" w:hAnsi="Times New Roman"/>
          <w:sz w:val="26"/>
          <w:szCs w:val="26"/>
        </w:rPr>
        <w:t xml:space="preserve"> Мерами, обеспечивающими достижение целевых показателей (индикаторов) развития сферы культуры, являются:</w:t>
      </w: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3.2.1.</w:t>
      </w:r>
      <w:r w:rsidRPr="00F35A6A">
        <w:rPr>
          <w:rFonts w:ascii="Times New Roman" w:hAnsi="Times New Roman"/>
          <w:sz w:val="26"/>
          <w:szCs w:val="26"/>
        </w:rPr>
        <w:t xml:space="preserve"> создание механизма стимулирования работников учреждений культуры, оказывающих услуги (выполняющих работы) различной сложности, включающего установление более высокого уровня заработной платы, обеспечение выполнения требований к качеству оказания услуг, прозрачное формирование оплаты труда, внедрение современных норм труда, направленных на повышение качества оказания государственных (муниципальных) услуг;</w:t>
      </w: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3.2.2.</w:t>
      </w:r>
      <w:r w:rsidRPr="00F35A6A">
        <w:rPr>
          <w:rFonts w:ascii="Times New Roman" w:hAnsi="Times New Roman"/>
          <w:sz w:val="26"/>
          <w:szCs w:val="26"/>
        </w:rPr>
        <w:t xml:space="preserve"> поэтапный рост оплаты труда работников учреждений культуры, достижение целевых показателей по доведению уровня оплаты труда (средней заработной платы) работников учреждений </w:t>
      </w:r>
      <w:r w:rsidRPr="00FF773E">
        <w:rPr>
          <w:rFonts w:ascii="Times New Roman" w:hAnsi="Times New Roman"/>
          <w:sz w:val="26"/>
          <w:szCs w:val="26"/>
        </w:rPr>
        <w:t xml:space="preserve">культуры до средней заработной платы в </w:t>
      </w:r>
      <w:r>
        <w:rPr>
          <w:rFonts w:ascii="Times New Roman" w:hAnsi="Times New Roman"/>
          <w:sz w:val="26"/>
          <w:szCs w:val="26"/>
        </w:rPr>
        <w:t>Ханты-М</w:t>
      </w:r>
      <w:r w:rsidRPr="00FF773E">
        <w:rPr>
          <w:rFonts w:ascii="Times New Roman" w:hAnsi="Times New Roman"/>
          <w:sz w:val="26"/>
          <w:szCs w:val="26"/>
        </w:rPr>
        <w:t>ансийском</w:t>
      </w:r>
      <w:r>
        <w:rPr>
          <w:rFonts w:ascii="Times New Roman" w:hAnsi="Times New Roman"/>
          <w:sz w:val="26"/>
          <w:szCs w:val="26"/>
        </w:rPr>
        <w:t xml:space="preserve"> а</w:t>
      </w:r>
      <w:r w:rsidRPr="00FF773E">
        <w:rPr>
          <w:rFonts w:ascii="Times New Roman" w:hAnsi="Times New Roman"/>
          <w:sz w:val="26"/>
          <w:szCs w:val="26"/>
        </w:rPr>
        <w:t>втономном округе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FF773E">
        <w:rPr>
          <w:rFonts w:ascii="Times New Roman" w:hAnsi="Times New Roman"/>
          <w:sz w:val="26"/>
          <w:szCs w:val="26"/>
        </w:rPr>
        <w:t xml:space="preserve">Югре в </w:t>
      </w:r>
      <w:r w:rsidRPr="000F7915">
        <w:rPr>
          <w:rFonts w:ascii="Times New Roman" w:hAnsi="Times New Roman"/>
          <w:sz w:val="26"/>
          <w:szCs w:val="26"/>
        </w:rPr>
        <w:t xml:space="preserve">соответствии с </w:t>
      </w:r>
      <w:hyperlink r:id="rId12" w:history="1">
        <w:r w:rsidRPr="000F7915">
          <w:rPr>
            <w:rFonts w:ascii="Times New Roman" w:hAnsi="Times New Roman"/>
            <w:sz w:val="26"/>
            <w:szCs w:val="26"/>
          </w:rPr>
          <w:t>Указом</w:t>
        </w:r>
      </w:hyperlink>
      <w:r w:rsidRPr="000F7915">
        <w:rPr>
          <w:rFonts w:ascii="Times New Roman" w:hAnsi="Times New Roman"/>
          <w:sz w:val="26"/>
          <w:szCs w:val="26"/>
        </w:rPr>
        <w:t xml:space="preserve"> Президента Российской Федерации от 07.05.2012 №597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Pr="000F7915">
        <w:rPr>
          <w:rFonts w:ascii="Times New Roman" w:hAnsi="Times New Roman"/>
          <w:sz w:val="26"/>
          <w:szCs w:val="26"/>
        </w:rPr>
        <w:t>«</w:t>
      </w:r>
      <w:r w:rsidRPr="00FF773E">
        <w:rPr>
          <w:rFonts w:ascii="Times New Roman" w:hAnsi="Times New Roman"/>
          <w:sz w:val="26"/>
          <w:szCs w:val="26"/>
        </w:rPr>
        <w:t>О мероприятиях по реализации государственной социальной политики</w:t>
      </w:r>
      <w:r>
        <w:rPr>
          <w:rFonts w:ascii="Times New Roman" w:hAnsi="Times New Roman"/>
          <w:sz w:val="26"/>
          <w:szCs w:val="26"/>
        </w:rPr>
        <w:t>»</w:t>
      </w:r>
      <w:r w:rsidRPr="00F35A6A">
        <w:rPr>
          <w:rFonts w:ascii="Times New Roman" w:hAnsi="Times New Roman"/>
          <w:sz w:val="26"/>
          <w:szCs w:val="26"/>
        </w:rPr>
        <w:t>;</w:t>
      </w: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3.2.3.</w:t>
      </w:r>
      <w:r w:rsidRPr="00F35A6A">
        <w:rPr>
          <w:rFonts w:ascii="Times New Roman" w:hAnsi="Times New Roman"/>
          <w:sz w:val="26"/>
          <w:szCs w:val="26"/>
        </w:rPr>
        <w:t xml:space="preserve"> обновление квалификационных требований к работникам, переобучение, повышение квалификации, приток квалифицированных кадров, создание предпосылок для появления в бюджетном секторе конкурентоспособных специалистов и менеджеров, сохранение и развитие кадрового потенциала работников сферы культуры;</w:t>
      </w:r>
    </w:p>
    <w:p w:rsidR="001A154B" w:rsidRPr="00F35A6A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3.2.4.</w:t>
      </w:r>
      <w:r w:rsidRPr="000D2A96">
        <w:rPr>
          <w:rFonts w:ascii="Times New Roman" w:hAnsi="Times New Roman"/>
          <w:sz w:val="26"/>
          <w:szCs w:val="26"/>
        </w:rPr>
        <w:t xml:space="preserve"> реорганизация неэффективных учреждений культуры.</w:t>
      </w:r>
    </w:p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A154B" w:rsidRPr="00F35A6A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F35A6A">
        <w:rPr>
          <w:rFonts w:ascii="Times New Roman" w:hAnsi="Times New Roman"/>
          <w:sz w:val="26"/>
          <w:szCs w:val="26"/>
        </w:rPr>
        <w:t>. Мероприятия по совершенствованию оплаты труда</w:t>
      </w:r>
    </w:p>
    <w:p w:rsidR="001A154B" w:rsidRPr="00F35A6A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35A6A">
        <w:rPr>
          <w:rFonts w:ascii="Times New Roman" w:hAnsi="Times New Roman"/>
          <w:sz w:val="26"/>
          <w:szCs w:val="26"/>
        </w:rPr>
        <w:t>работников учреждений культуры</w:t>
      </w:r>
    </w:p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1A154B" w:rsidRPr="00F35A6A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F35A6A">
        <w:rPr>
          <w:rFonts w:ascii="Times New Roman" w:hAnsi="Times New Roman"/>
          <w:sz w:val="26"/>
          <w:szCs w:val="26"/>
        </w:rPr>
        <w:t xml:space="preserve">1. Разработка и проведение мероприятий по совершенствованию оплаты труда работников </w:t>
      </w:r>
      <w:r>
        <w:rPr>
          <w:rFonts w:ascii="Times New Roman" w:hAnsi="Times New Roman"/>
          <w:sz w:val="26"/>
          <w:szCs w:val="26"/>
        </w:rPr>
        <w:t>Учреждений</w:t>
      </w:r>
      <w:r w:rsidRPr="00F35A6A">
        <w:rPr>
          <w:rFonts w:ascii="Times New Roman" w:hAnsi="Times New Roman"/>
          <w:sz w:val="26"/>
          <w:szCs w:val="26"/>
        </w:rPr>
        <w:t xml:space="preserve"> должны </w:t>
      </w:r>
      <w:r w:rsidRPr="00FF773E">
        <w:rPr>
          <w:rFonts w:ascii="Times New Roman" w:hAnsi="Times New Roman"/>
          <w:sz w:val="26"/>
          <w:szCs w:val="26"/>
        </w:rPr>
        <w:t xml:space="preserve">осуществляться с учетом </w:t>
      </w:r>
      <w:hyperlink r:id="rId13" w:history="1">
        <w:r w:rsidRPr="00FF773E">
          <w:rPr>
            <w:rFonts w:ascii="Times New Roman" w:hAnsi="Times New Roman"/>
            <w:sz w:val="26"/>
            <w:szCs w:val="26"/>
          </w:rPr>
          <w:t>Программы</w:t>
        </w:r>
      </w:hyperlink>
      <w:r w:rsidRPr="00FF773E">
        <w:rPr>
          <w:rFonts w:ascii="Times New Roman" w:hAnsi="Times New Roman"/>
          <w:sz w:val="26"/>
          <w:szCs w:val="26"/>
        </w:rPr>
        <w:t xml:space="preserve"> поэтапного совершенствования системы оплаты труда в муниципальных учреждениях на 2012 - 2018 годы, утвержденной распоряжением Правительства Российской Федерации от 26</w:t>
      </w:r>
      <w:r>
        <w:rPr>
          <w:rFonts w:ascii="Times New Roman" w:hAnsi="Times New Roman"/>
          <w:sz w:val="26"/>
          <w:szCs w:val="26"/>
        </w:rPr>
        <w:t>.11.</w:t>
      </w:r>
      <w:r w:rsidRPr="00FF773E">
        <w:rPr>
          <w:rFonts w:ascii="Times New Roman" w:hAnsi="Times New Roman"/>
          <w:sz w:val="26"/>
          <w:szCs w:val="26"/>
        </w:rPr>
        <w:t>2012</w:t>
      </w:r>
      <w:r>
        <w:rPr>
          <w:rFonts w:ascii="Times New Roman" w:hAnsi="Times New Roman"/>
          <w:sz w:val="26"/>
          <w:szCs w:val="26"/>
        </w:rPr>
        <w:t xml:space="preserve"> №</w:t>
      </w:r>
      <w:r w:rsidRPr="00FF773E">
        <w:rPr>
          <w:rFonts w:ascii="Times New Roman" w:hAnsi="Times New Roman"/>
          <w:sz w:val="26"/>
          <w:szCs w:val="26"/>
        </w:rPr>
        <w:t xml:space="preserve">2190-р,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на соответствующий год решением Российской трехсторонней комиссии по регулированию социально-трудовых отношений. Учитывая специфику деятельности </w:t>
      </w:r>
      <w:r>
        <w:rPr>
          <w:rFonts w:ascii="Times New Roman" w:hAnsi="Times New Roman"/>
          <w:sz w:val="26"/>
          <w:szCs w:val="26"/>
        </w:rPr>
        <w:t>Учреждений</w:t>
      </w:r>
      <w:r w:rsidRPr="00FF773E">
        <w:rPr>
          <w:rFonts w:ascii="Times New Roman" w:hAnsi="Times New Roman"/>
          <w:sz w:val="26"/>
          <w:szCs w:val="26"/>
        </w:rPr>
        <w:t>, при планировании размеров средств, направляемых на повышение заработной платы работников, в качестве приоритетных должны рассматриваться библиотеки, культурно</w:t>
      </w:r>
      <w:r w:rsidRPr="00F35A6A">
        <w:rPr>
          <w:rFonts w:ascii="Times New Roman" w:hAnsi="Times New Roman"/>
          <w:sz w:val="26"/>
          <w:szCs w:val="26"/>
        </w:rPr>
        <w:t>-досуговые учреждения и музеи. При этом объемы финансирования должны соотноситься с выполнением этими учреждениями показателей эффективности и достижением целевых показателей (индикаторов).</w:t>
      </w: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F35A6A">
        <w:rPr>
          <w:rFonts w:ascii="Times New Roman" w:hAnsi="Times New Roman"/>
          <w:sz w:val="26"/>
          <w:szCs w:val="26"/>
        </w:rPr>
        <w:t>2. Показател</w:t>
      </w:r>
      <w:r>
        <w:rPr>
          <w:rFonts w:ascii="Times New Roman" w:hAnsi="Times New Roman"/>
          <w:sz w:val="26"/>
          <w:szCs w:val="26"/>
        </w:rPr>
        <w:t>ем</w:t>
      </w:r>
      <w:r w:rsidRPr="00F35A6A">
        <w:rPr>
          <w:rFonts w:ascii="Times New Roman" w:hAnsi="Times New Roman"/>
          <w:sz w:val="26"/>
          <w:szCs w:val="26"/>
        </w:rPr>
        <w:t xml:space="preserve"> (индикатор</w:t>
      </w:r>
      <w:r>
        <w:rPr>
          <w:rFonts w:ascii="Times New Roman" w:hAnsi="Times New Roman"/>
          <w:sz w:val="26"/>
          <w:szCs w:val="26"/>
        </w:rPr>
        <w:t>ом</w:t>
      </w:r>
      <w:r w:rsidRPr="00F35A6A">
        <w:rPr>
          <w:rFonts w:ascii="Times New Roman" w:hAnsi="Times New Roman"/>
          <w:sz w:val="26"/>
          <w:szCs w:val="26"/>
        </w:rPr>
        <w:t xml:space="preserve">), характеризующим эффективность мероприятий по совершенствованию оплаты труда работников </w:t>
      </w:r>
      <w:r>
        <w:rPr>
          <w:rFonts w:ascii="Times New Roman" w:hAnsi="Times New Roman"/>
          <w:sz w:val="26"/>
          <w:szCs w:val="26"/>
        </w:rPr>
        <w:t>Учреждений</w:t>
      </w:r>
      <w:r w:rsidRPr="00F35A6A">
        <w:rPr>
          <w:rFonts w:ascii="Times New Roman" w:hAnsi="Times New Roman"/>
          <w:sz w:val="26"/>
          <w:szCs w:val="26"/>
        </w:rPr>
        <w:t>, явля</w:t>
      </w:r>
      <w:r>
        <w:rPr>
          <w:rFonts w:ascii="Times New Roman" w:hAnsi="Times New Roman"/>
          <w:sz w:val="26"/>
          <w:szCs w:val="26"/>
        </w:rPr>
        <w:t xml:space="preserve">ется </w:t>
      </w:r>
      <w:r w:rsidRPr="00F35A6A">
        <w:rPr>
          <w:rFonts w:ascii="Times New Roman" w:hAnsi="Times New Roman"/>
          <w:sz w:val="26"/>
          <w:szCs w:val="26"/>
        </w:rPr>
        <w:t xml:space="preserve">динамика примерных (индикативных) значений соотношения средней заработной платы работников </w:t>
      </w:r>
      <w:r>
        <w:rPr>
          <w:rFonts w:ascii="Times New Roman" w:hAnsi="Times New Roman"/>
          <w:sz w:val="26"/>
          <w:szCs w:val="26"/>
        </w:rPr>
        <w:t>Учреждений</w:t>
      </w:r>
      <w:r w:rsidRPr="00F35A6A">
        <w:rPr>
          <w:rFonts w:ascii="Times New Roman" w:hAnsi="Times New Roman"/>
          <w:sz w:val="26"/>
          <w:szCs w:val="26"/>
        </w:rPr>
        <w:t xml:space="preserve">, повышение оплаты труда которых </w:t>
      </w:r>
      <w:r w:rsidRPr="00B3348C">
        <w:rPr>
          <w:rFonts w:ascii="Times New Roman" w:hAnsi="Times New Roman"/>
          <w:sz w:val="26"/>
          <w:szCs w:val="26"/>
        </w:rPr>
        <w:t xml:space="preserve">предусмотрено </w:t>
      </w:r>
      <w:r>
        <w:rPr>
          <w:rFonts w:ascii="Times New Roman" w:hAnsi="Times New Roman"/>
          <w:sz w:val="26"/>
          <w:szCs w:val="26"/>
        </w:rPr>
        <w:t xml:space="preserve">распоряжением Правительства Ханты-Мансийского автономного округа – Югры от 29.12.2012 №796-рп «О графике примерных (индикативных) значений соотношения средней заработной платы отдельных </w:t>
      </w:r>
      <w:r>
        <w:rPr>
          <w:rFonts w:ascii="Times New Roman" w:hAnsi="Times New Roman"/>
          <w:sz w:val="26"/>
          <w:szCs w:val="26"/>
        </w:rPr>
        <w:lastRenderedPageBreak/>
        <w:t>категорий работников Учреждений к средней заработной плате по Ханты-Мансийскому автономному округу – Юре на период до 2012-2018 годы», и средней заработной платы в Ханты-Мансийском автономном округе – Югре</w:t>
      </w:r>
      <w:r w:rsidRPr="00F35A6A">
        <w:rPr>
          <w:rFonts w:ascii="Times New Roman" w:hAnsi="Times New Roman"/>
          <w:sz w:val="26"/>
          <w:szCs w:val="26"/>
        </w:rPr>
        <w:t>:</w:t>
      </w:r>
    </w:p>
    <w:p w:rsidR="001A154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154B" w:rsidRPr="00EA664C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A664C">
        <w:rPr>
          <w:rFonts w:ascii="Times New Roman" w:hAnsi="Times New Roman"/>
          <w:sz w:val="26"/>
          <w:szCs w:val="26"/>
        </w:rPr>
        <w:t>(процентов)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9"/>
        <w:gridCol w:w="1371"/>
        <w:gridCol w:w="1484"/>
        <w:gridCol w:w="1613"/>
        <w:gridCol w:w="1742"/>
        <w:gridCol w:w="1484"/>
      </w:tblGrid>
      <w:tr w:rsidR="001A154B" w:rsidRPr="00047038" w:rsidTr="00047038"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  <w:tc>
          <w:tcPr>
            <w:tcW w:w="1435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2014 год</w:t>
            </w:r>
          </w:p>
        </w:tc>
        <w:tc>
          <w:tcPr>
            <w:tcW w:w="1559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2015 год</w:t>
            </w:r>
          </w:p>
        </w:tc>
        <w:tc>
          <w:tcPr>
            <w:tcW w:w="1701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1843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1559" w:type="dxa"/>
          </w:tcPr>
          <w:p w:rsidR="001A154B" w:rsidRPr="00047038" w:rsidRDefault="001A154B" w:rsidP="00047038">
            <w:pPr>
              <w:spacing w:after="0" w:line="240" w:lineRule="auto"/>
              <w:rPr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</w:tr>
      <w:tr w:rsidR="001A154B" w:rsidRPr="00047038" w:rsidTr="00047038">
        <w:tc>
          <w:tcPr>
            <w:tcW w:w="1367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1435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61,0</w:t>
            </w:r>
          </w:p>
        </w:tc>
        <w:tc>
          <w:tcPr>
            <w:tcW w:w="1559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65,0</w:t>
            </w:r>
          </w:p>
        </w:tc>
        <w:tc>
          <w:tcPr>
            <w:tcW w:w="1701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74,0</w:t>
            </w:r>
          </w:p>
        </w:tc>
        <w:tc>
          <w:tcPr>
            <w:tcW w:w="1843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85,0</w:t>
            </w:r>
          </w:p>
        </w:tc>
        <w:tc>
          <w:tcPr>
            <w:tcW w:w="1559" w:type="dxa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A154B" w:rsidRPr="00F82F1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F82F1B">
        <w:rPr>
          <w:rFonts w:ascii="Times New Roman" w:hAnsi="Times New Roman"/>
          <w:sz w:val="26"/>
          <w:szCs w:val="26"/>
        </w:rPr>
        <w:t>. Основные мероприятия, направленные на повышение</w:t>
      </w:r>
    </w:p>
    <w:p w:rsidR="001A154B" w:rsidRPr="00F82F1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2F1B">
        <w:rPr>
          <w:rFonts w:ascii="Times New Roman" w:hAnsi="Times New Roman"/>
          <w:sz w:val="26"/>
          <w:szCs w:val="26"/>
        </w:rPr>
        <w:t>эффективности и качества предоставляемых услуг в сфере</w:t>
      </w:r>
    </w:p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82F1B">
        <w:rPr>
          <w:rFonts w:ascii="Times New Roman" w:hAnsi="Times New Roman"/>
          <w:sz w:val="26"/>
          <w:szCs w:val="26"/>
        </w:rPr>
        <w:t>культуры, связанные с переходом на эффективный контракт</w:t>
      </w:r>
    </w:p>
    <w:p w:rsidR="001A154B" w:rsidRDefault="001A154B" w:rsidP="00942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476"/>
        <w:gridCol w:w="2575"/>
        <w:gridCol w:w="2036"/>
        <w:gridCol w:w="2007"/>
        <w:gridCol w:w="2007"/>
      </w:tblGrid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414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1119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1103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103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Сроки исполнения</w:t>
            </w:r>
          </w:p>
        </w:tc>
      </w:tr>
      <w:tr w:rsidR="001A154B" w:rsidRPr="00047038" w:rsidTr="000873E1">
        <w:tc>
          <w:tcPr>
            <w:tcW w:w="5000" w:type="pct"/>
            <w:gridSpan w:val="6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Совершенствование системы оплаты труда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4" w:type="pct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Разработка (изменение) показателей эффективности деятельности Учреждений и их руководителей подведомственных Управлению 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Правовые акты 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4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C000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Проведение мероприятий с учётом специфики отрасли по возможному привлечению на повышение заработной платы не менее одной трети средств, полученных за счёт реорганизации неэффективных учреждений, а также по возможному привлечению средств от приносящей доход деятельности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Правовые акты 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4" w:type="pct"/>
          </w:tcPr>
          <w:p w:rsidR="001A154B" w:rsidRPr="00047038" w:rsidRDefault="001A154B" w:rsidP="00C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Внесение изменений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примерные 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положения по оплате труда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работников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чреждений, подведомственных Управлению, обеспечивающих достижение показателей повышения оплаты труда, не </w:t>
            </w:r>
            <w:r>
              <w:rPr>
                <w:rFonts w:ascii="Times New Roman" w:hAnsi="Times New Roman"/>
                <w:sz w:val="26"/>
                <w:szCs w:val="26"/>
              </w:rPr>
              <w:t>влекущие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 уменьшение заработной платы работников Учреждений, при условии сохранения объёма должностных обязанностей работников и выполнения ими работ той же квалификации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Правовые акты 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Управление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чреждения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414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Осуществление организации руководства типовыми отраслевыми нормами труда работников Учреждений и методическими рекомендациями по формированию штатной численности Учреждений, принятых Министерством культуры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Правовые акты 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Ежегодно с момента принятия Минкультуры РФ соответствующих документов</w:t>
            </w:r>
          </w:p>
        </w:tc>
      </w:tr>
      <w:tr w:rsidR="001A154B" w:rsidRPr="00047038" w:rsidTr="000873E1">
        <w:tc>
          <w:tcPr>
            <w:tcW w:w="5000" w:type="pct"/>
            <w:gridSpan w:val="6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Создание прозрачного механизма оплаты труда  руководителей учреждений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4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Организация мероприятий по предоставлению руководителем Учреждения сведений о доходах, об имуществе и обязательствах имущественного характера </w:t>
            </w: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руководителя, его супруга (супруги) и несовершеннолет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>них детей, а также граждан, претендующих на занятие соответствующих должностей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>Постановление Администрации города Когалыма,</w:t>
            </w:r>
          </w:p>
          <w:p w:rsidR="001A154B" w:rsidRPr="00047038" w:rsidRDefault="001A154B" w:rsidP="00C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трудовые договоры с руководителя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ми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>чреждений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1A154B" w:rsidRPr="00047038" w:rsidTr="000873E1">
        <w:tc>
          <w:tcPr>
            <w:tcW w:w="5000" w:type="pct"/>
            <w:gridSpan w:val="6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>Развитие кадрового потенциала работников учреждений культуры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14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Осуществление мероприятий по обеспечению соответствия работников Учреждения обновлённым квалификационным требованиям, в том числе на основе повышения квалификации и переподготовки работников, а также аттестации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Управление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чреждения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4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Организация деятельности Учреждений в соответствии с профессиональными стандартами работников учреждений культуры, принятыми Министерством культуры РФ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Правовые акты Управления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Управление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чреждения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21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Ежегодно с момента утверждения Минкультуры РФ профессио-нальных стандартов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4" w:type="pct"/>
          </w:tcPr>
          <w:p w:rsidR="001A154B" w:rsidRPr="00047038" w:rsidRDefault="001A154B" w:rsidP="005D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Проведение мероприятий по организации заключения дополнительных соглашений к трудовым договорам (новых трудовых договоров) с работниками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чреждений в связи </w:t>
            </w: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>с введением эффективного контракта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>Трудовые договор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 работников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Управление,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чреждения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Ежегодно (по мере </w:t>
            </w:r>
            <w:r w:rsidRPr="000873E1">
              <w:rPr>
                <w:rFonts w:ascii="Times New Roman" w:hAnsi="Times New Roman"/>
                <w:spacing w:val="-6"/>
                <w:sz w:val="26"/>
                <w:szCs w:val="26"/>
              </w:rPr>
              <w:t>необходимости)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414" w:type="pct"/>
          </w:tcPr>
          <w:p w:rsidR="001A154B" w:rsidRPr="00047038" w:rsidRDefault="001A154B" w:rsidP="0021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Предоставление информации (в соответствии с запросом Департамента культуры </w:t>
            </w:r>
            <w:r>
              <w:rPr>
                <w:rFonts w:ascii="Times New Roman" w:hAnsi="Times New Roman"/>
                <w:sz w:val="26"/>
                <w:szCs w:val="26"/>
              </w:rPr>
              <w:t>Ханты – Мансийского автономного округа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 – Югры) о практике внедрения эффективного контракта, предусмотренного Программой поэтапного совершенствования системы оплаты труда в муниципальных учреждениях на 2012-2018 годы, утверждённого распоряжением Правительства Российской Федерации от 26.11.2012 года №2190-р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Информация</w:t>
            </w:r>
          </w:p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Управление,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чреждения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4" w:type="pct"/>
          </w:tcPr>
          <w:p w:rsidR="001A154B" w:rsidRPr="00047038" w:rsidRDefault="001A154B" w:rsidP="0021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Обеспечение дифференциации оплаты труда основного и прочего персонала, оптимизация расходов на административно-управленческий и вспомогательный персонал 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>чреждений, подведомственных Управлению, с учётом предельной доли расходов на оплату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их труда 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фонде оплаты труда У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>чреждения – не более 40%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Правовые акты 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2013-2014 годы</w:t>
            </w:r>
          </w:p>
        </w:tc>
      </w:tr>
      <w:tr w:rsidR="001A154B" w:rsidRPr="00047038" w:rsidTr="000873E1">
        <w:tc>
          <w:tcPr>
            <w:tcW w:w="5000" w:type="pct"/>
            <w:gridSpan w:val="6"/>
          </w:tcPr>
          <w:p w:rsidR="001A154B" w:rsidRPr="00047038" w:rsidRDefault="001A154B" w:rsidP="0021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Мониторинг достижения целевых показателей средней заработной платы отдельных категорий работников, определённых Указом Президента РФ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>от 07</w:t>
            </w:r>
            <w:r>
              <w:rPr>
                <w:rFonts w:ascii="Times New Roman" w:hAnsi="Times New Roman"/>
                <w:sz w:val="26"/>
                <w:szCs w:val="26"/>
              </w:rPr>
              <w:t>.05.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>2012 г. №597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4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Создание постоянно действующей рабочей группы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Управления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 xml:space="preserve"> по оценке результатов реализации «дорожной карты»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Правовые акты 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</w:p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2013 год</w:t>
            </w:r>
          </w:p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414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Проведение мониторинга мероприятий по повышению оплаты труда, предусмотренных в «дорожной карте»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Информация 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</w:p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cyan"/>
              </w:rPr>
            </w:pP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до 10.06.2013,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>25.12.2013</w:t>
            </w:r>
          </w:p>
        </w:tc>
      </w:tr>
      <w:tr w:rsidR="001A154B" w:rsidRPr="00047038" w:rsidTr="000873E1">
        <w:tc>
          <w:tcPr>
            <w:tcW w:w="261" w:type="pct"/>
            <w:gridSpan w:val="2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414" w:type="pct"/>
            <w:vAlign w:val="center"/>
          </w:tcPr>
          <w:p w:rsidR="001A154B" w:rsidRPr="00047038" w:rsidRDefault="001A154B" w:rsidP="0021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Информационное сопровождение «дорожной карты» - организация проведения разъяснительной работы в трудовых коллективах, публикации в </w:t>
            </w:r>
            <w:r>
              <w:rPr>
                <w:rFonts w:ascii="Times New Roman" w:hAnsi="Times New Roman"/>
                <w:sz w:val="26"/>
                <w:szCs w:val="26"/>
              </w:rPr>
              <w:t>средствах массовой информации</w:t>
            </w:r>
            <w:r w:rsidRPr="00047038">
              <w:rPr>
                <w:rFonts w:ascii="Times New Roman" w:hAnsi="Times New Roman"/>
                <w:sz w:val="26"/>
                <w:szCs w:val="26"/>
              </w:rPr>
              <w:t>, проведение семинаров и др.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Публикации методических рекомендаций в средствах массовой информации, проведение семинаров, других мероприятий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</w:tr>
      <w:tr w:rsidR="001A154B" w:rsidRPr="00047038" w:rsidTr="000873E1">
        <w:trPr>
          <w:gridBefore w:val="1"/>
        </w:trPr>
        <w:tc>
          <w:tcPr>
            <w:tcW w:w="261" w:type="pct"/>
          </w:tcPr>
          <w:p w:rsidR="001A154B" w:rsidRPr="00047038" w:rsidRDefault="001A154B" w:rsidP="00047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414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Анализ результатов повышения оплаты труда работников Учреждений и подготовка соответствующей информации</w:t>
            </w:r>
          </w:p>
        </w:tc>
        <w:tc>
          <w:tcPr>
            <w:tcW w:w="1119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Информация Управления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4A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 xml:space="preserve">Управление </w:t>
            </w:r>
          </w:p>
        </w:tc>
        <w:tc>
          <w:tcPr>
            <w:tcW w:w="1103" w:type="pct"/>
            <w:vAlign w:val="center"/>
          </w:tcPr>
          <w:p w:rsidR="001A154B" w:rsidRPr="00047038" w:rsidRDefault="001A154B" w:rsidP="00087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7038">
              <w:rPr>
                <w:rFonts w:ascii="Times New Roman" w:hAnsi="Times New Roman"/>
                <w:sz w:val="26"/>
                <w:szCs w:val="26"/>
              </w:rPr>
              <w:t>Март 2017</w:t>
            </w:r>
          </w:p>
        </w:tc>
      </w:tr>
    </w:tbl>
    <w:p w:rsidR="001A154B" w:rsidRDefault="001A154B" w:rsidP="00F82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154B" w:rsidRDefault="001A154B" w:rsidP="00F82F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154B" w:rsidRPr="00F82F1B" w:rsidRDefault="001A154B" w:rsidP="0008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sectPr w:rsidR="001A154B" w:rsidRPr="00F82F1B" w:rsidSect="000879BA">
      <w:footerReference w:type="even" r:id="rId14"/>
      <w:footerReference w:type="default" r:id="rId15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D6" w:rsidRDefault="004174D6">
      <w:r>
        <w:separator/>
      </w:r>
    </w:p>
  </w:endnote>
  <w:endnote w:type="continuationSeparator" w:id="0">
    <w:p w:rsidR="004174D6" w:rsidRDefault="0041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4B" w:rsidRDefault="001A154B" w:rsidP="00572096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154B" w:rsidRDefault="001A154B" w:rsidP="000873E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4B" w:rsidRDefault="001A154B" w:rsidP="00572096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193D">
      <w:rPr>
        <w:rStyle w:val="a8"/>
        <w:noProof/>
      </w:rPr>
      <w:t>6</w:t>
    </w:r>
    <w:r>
      <w:rPr>
        <w:rStyle w:val="a8"/>
      </w:rPr>
      <w:fldChar w:fldCharType="end"/>
    </w:r>
  </w:p>
  <w:p w:rsidR="001A154B" w:rsidRDefault="001A154B" w:rsidP="000873E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D6" w:rsidRDefault="004174D6">
      <w:r>
        <w:separator/>
      </w:r>
    </w:p>
  </w:footnote>
  <w:footnote w:type="continuationSeparator" w:id="0">
    <w:p w:rsidR="004174D6" w:rsidRDefault="00417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7545"/>
    <w:multiLevelType w:val="hybridMultilevel"/>
    <w:tmpl w:val="8F0A174E"/>
    <w:lvl w:ilvl="0" w:tplc="61F8E7A6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09D"/>
    <w:rsid w:val="000063B9"/>
    <w:rsid w:val="00047038"/>
    <w:rsid w:val="000600B7"/>
    <w:rsid w:val="00060E17"/>
    <w:rsid w:val="000873E1"/>
    <w:rsid w:val="000879BA"/>
    <w:rsid w:val="000B0004"/>
    <w:rsid w:val="000B245A"/>
    <w:rsid w:val="000C0427"/>
    <w:rsid w:val="000D2A96"/>
    <w:rsid w:val="000D46EE"/>
    <w:rsid w:val="000F7915"/>
    <w:rsid w:val="001005ED"/>
    <w:rsid w:val="00154F29"/>
    <w:rsid w:val="00170CE1"/>
    <w:rsid w:val="00177A90"/>
    <w:rsid w:val="00190DE7"/>
    <w:rsid w:val="001A154B"/>
    <w:rsid w:val="001C02DA"/>
    <w:rsid w:val="00210CB7"/>
    <w:rsid w:val="002159B6"/>
    <w:rsid w:val="00232AE7"/>
    <w:rsid w:val="00233FE6"/>
    <w:rsid w:val="002479BE"/>
    <w:rsid w:val="0025426A"/>
    <w:rsid w:val="002655BC"/>
    <w:rsid w:val="00271778"/>
    <w:rsid w:val="002807A1"/>
    <w:rsid w:val="00281635"/>
    <w:rsid w:val="0029168D"/>
    <w:rsid w:val="002917E5"/>
    <w:rsid w:val="00292A1C"/>
    <w:rsid w:val="002A5B2C"/>
    <w:rsid w:val="002E68D7"/>
    <w:rsid w:val="003010D0"/>
    <w:rsid w:val="00307349"/>
    <w:rsid w:val="00320C46"/>
    <w:rsid w:val="00326837"/>
    <w:rsid w:val="00342146"/>
    <w:rsid w:val="00346080"/>
    <w:rsid w:val="00356BDC"/>
    <w:rsid w:val="00366CFF"/>
    <w:rsid w:val="00396937"/>
    <w:rsid w:val="003C50C0"/>
    <w:rsid w:val="003C7657"/>
    <w:rsid w:val="003D2266"/>
    <w:rsid w:val="003E20A1"/>
    <w:rsid w:val="003F55A5"/>
    <w:rsid w:val="00402BA2"/>
    <w:rsid w:val="004139EF"/>
    <w:rsid w:val="004174D6"/>
    <w:rsid w:val="00421FA4"/>
    <w:rsid w:val="00426CD3"/>
    <w:rsid w:val="00444F9F"/>
    <w:rsid w:val="00447182"/>
    <w:rsid w:val="00452C08"/>
    <w:rsid w:val="0045728E"/>
    <w:rsid w:val="004706CC"/>
    <w:rsid w:val="00474F23"/>
    <w:rsid w:val="004870AA"/>
    <w:rsid w:val="00487448"/>
    <w:rsid w:val="004A2EAA"/>
    <w:rsid w:val="004C0861"/>
    <w:rsid w:val="004C15E0"/>
    <w:rsid w:val="004C1CD5"/>
    <w:rsid w:val="004C7B1D"/>
    <w:rsid w:val="004D6213"/>
    <w:rsid w:val="004E1B65"/>
    <w:rsid w:val="00511B80"/>
    <w:rsid w:val="00517021"/>
    <w:rsid w:val="00526AF1"/>
    <w:rsid w:val="005459A5"/>
    <w:rsid w:val="005614BC"/>
    <w:rsid w:val="00572096"/>
    <w:rsid w:val="005851F3"/>
    <w:rsid w:val="005A0202"/>
    <w:rsid w:val="005A4DD5"/>
    <w:rsid w:val="005A6BE1"/>
    <w:rsid w:val="005C2738"/>
    <w:rsid w:val="005D6674"/>
    <w:rsid w:val="005D6F4B"/>
    <w:rsid w:val="005E61AF"/>
    <w:rsid w:val="00623854"/>
    <w:rsid w:val="00623A1B"/>
    <w:rsid w:val="00632BBA"/>
    <w:rsid w:val="0063670C"/>
    <w:rsid w:val="00643B70"/>
    <w:rsid w:val="0064497E"/>
    <w:rsid w:val="00647698"/>
    <w:rsid w:val="006511E1"/>
    <w:rsid w:val="00681C75"/>
    <w:rsid w:val="006E00D5"/>
    <w:rsid w:val="006E176A"/>
    <w:rsid w:val="00707F1D"/>
    <w:rsid w:val="007210AE"/>
    <w:rsid w:val="0072579B"/>
    <w:rsid w:val="00727193"/>
    <w:rsid w:val="00755C45"/>
    <w:rsid w:val="00764ADC"/>
    <w:rsid w:val="00766FD0"/>
    <w:rsid w:val="007775F7"/>
    <w:rsid w:val="00781679"/>
    <w:rsid w:val="00783965"/>
    <w:rsid w:val="00794569"/>
    <w:rsid w:val="007B193D"/>
    <w:rsid w:val="00821B41"/>
    <w:rsid w:val="00826BD1"/>
    <w:rsid w:val="0082776A"/>
    <w:rsid w:val="00830B31"/>
    <w:rsid w:val="0083379C"/>
    <w:rsid w:val="00833C53"/>
    <w:rsid w:val="00851D8A"/>
    <w:rsid w:val="00853BC9"/>
    <w:rsid w:val="00854A1D"/>
    <w:rsid w:val="008851D4"/>
    <w:rsid w:val="0089109D"/>
    <w:rsid w:val="008A1AA5"/>
    <w:rsid w:val="008B27EB"/>
    <w:rsid w:val="008B44DF"/>
    <w:rsid w:val="008C0199"/>
    <w:rsid w:val="008D2D4F"/>
    <w:rsid w:val="008E081C"/>
    <w:rsid w:val="008F01A2"/>
    <w:rsid w:val="0090365A"/>
    <w:rsid w:val="00906390"/>
    <w:rsid w:val="009136AF"/>
    <w:rsid w:val="00927C3D"/>
    <w:rsid w:val="00942738"/>
    <w:rsid w:val="0097296A"/>
    <w:rsid w:val="00987570"/>
    <w:rsid w:val="0099679D"/>
    <w:rsid w:val="009A5627"/>
    <w:rsid w:val="009A62A0"/>
    <w:rsid w:val="009B2797"/>
    <w:rsid w:val="009C7985"/>
    <w:rsid w:val="009D077B"/>
    <w:rsid w:val="009D62B4"/>
    <w:rsid w:val="009D74D6"/>
    <w:rsid w:val="009D7EFC"/>
    <w:rsid w:val="009F6188"/>
    <w:rsid w:val="00A164C1"/>
    <w:rsid w:val="00A3396F"/>
    <w:rsid w:val="00A33EE7"/>
    <w:rsid w:val="00A3604B"/>
    <w:rsid w:val="00A47B0E"/>
    <w:rsid w:val="00A608CD"/>
    <w:rsid w:val="00A668DA"/>
    <w:rsid w:val="00A8207C"/>
    <w:rsid w:val="00A857A3"/>
    <w:rsid w:val="00AA5BBC"/>
    <w:rsid w:val="00AC188A"/>
    <w:rsid w:val="00AE67A4"/>
    <w:rsid w:val="00B0129D"/>
    <w:rsid w:val="00B07043"/>
    <w:rsid w:val="00B3133A"/>
    <w:rsid w:val="00B3348C"/>
    <w:rsid w:val="00B359ED"/>
    <w:rsid w:val="00B417CC"/>
    <w:rsid w:val="00B4585E"/>
    <w:rsid w:val="00B46955"/>
    <w:rsid w:val="00B64B4A"/>
    <w:rsid w:val="00B64F5B"/>
    <w:rsid w:val="00B766DA"/>
    <w:rsid w:val="00B822E5"/>
    <w:rsid w:val="00BA05D6"/>
    <w:rsid w:val="00BA13A9"/>
    <w:rsid w:val="00BB47FC"/>
    <w:rsid w:val="00BC45F4"/>
    <w:rsid w:val="00BC52CF"/>
    <w:rsid w:val="00BE31A0"/>
    <w:rsid w:val="00BE5504"/>
    <w:rsid w:val="00C04770"/>
    <w:rsid w:val="00C134E7"/>
    <w:rsid w:val="00C15692"/>
    <w:rsid w:val="00C17BB3"/>
    <w:rsid w:val="00C43C2C"/>
    <w:rsid w:val="00C61ECC"/>
    <w:rsid w:val="00C62C5A"/>
    <w:rsid w:val="00C6419A"/>
    <w:rsid w:val="00C74A4E"/>
    <w:rsid w:val="00C90F61"/>
    <w:rsid w:val="00C91B6A"/>
    <w:rsid w:val="00CC4A13"/>
    <w:rsid w:val="00CC53A5"/>
    <w:rsid w:val="00CF50A5"/>
    <w:rsid w:val="00CF6D5A"/>
    <w:rsid w:val="00D014DA"/>
    <w:rsid w:val="00D01F47"/>
    <w:rsid w:val="00D20C2C"/>
    <w:rsid w:val="00D35A9F"/>
    <w:rsid w:val="00D37516"/>
    <w:rsid w:val="00D667D7"/>
    <w:rsid w:val="00DA7A95"/>
    <w:rsid w:val="00DC0DE6"/>
    <w:rsid w:val="00DD347E"/>
    <w:rsid w:val="00DD3E38"/>
    <w:rsid w:val="00DD5AAF"/>
    <w:rsid w:val="00DF4EE4"/>
    <w:rsid w:val="00E00DF2"/>
    <w:rsid w:val="00E016F4"/>
    <w:rsid w:val="00E2197D"/>
    <w:rsid w:val="00E24C0F"/>
    <w:rsid w:val="00E25C3B"/>
    <w:rsid w:val="00E27B47"/>
    <w:rsid w:val="00E60190"/>
    <w:rsid w:val="00E82AB4"/>
    <w:rsid w:val="00E9638E"/>
    <w:rsid w:val="00EA0C35"/>
    <w:rsid w:val="00EA1F1C"/>
    <w:rsid w:val="00EA3A21"/>
    <w:rsid w:val="00EA664C"/>
    <w:rsid w:val="00EC55C8"/>
    <w:rsid w:val="00EC55D1"/>
    <w:rsid w:val="00EE5A72"/>
    <w:rsid w:val="00F05165"/>
    <w:rsid w:val="00F15844"/>
    <w:rsid w:val="00F16B25"/>
    <w:rsid w:val="00F35A6A"/>
    <w:rsid w:val="00F425F1"/>
    <w:rsid w:val="00F5560A"/>
    <w:rsid w:val="00F65530"/>
    <w:rsid w:val="00F70E34"/>
    <w:rsid w:val="00F82F1B"/>
    <w:rsid w:val="00F9320E"/>
    <w:rsid w:val="00FA1C9A"/>
    <w:rsid w:val="00FA7A0C"/>
    <w:rsid w:val="00FB0437"/>
    <w:rsid w:val="00FB41E1"/>
    <w:rsid w:val="00FF06CE"/>
    <w:rsid w:val="00FF12D0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8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668DA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68DA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2479BE"/>
    <w:pPr>
      <w:ind w:left="720"/>
      <w:contextualSpacing/>
    </w:pPr>
  </w:style>
  <w:style w:type="character" w:styleId="a4">
    <w:name w:val="Hyperlink"/>
    <w:uiPriority w:val="99"/>
    <w:rsid w:val="002479B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94273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4273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5">
    <w:name w:val="Table Grid"/>
    <w:basedOn w:val="a1"/>
    <w:uiPriority w:val="99"/>
    <w:rsid w:val="005C27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87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E5504"/>
    <w:rPr>
      <w:rFonts w:cs="Times New Roman"/>
    </w:rPr>
  </w:style>
  <w:style w:type="character" w:styleId="a8">
    <w:name w:val="page number"/>
    <w:uiPriority w:val="99"/>
    <w:rsid w:val="000873E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B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B4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0F2E9CD365C04B81ED8C1D61A159163060DB74093A41E8B70277211B78C40A3AD98D542683BA697TEQ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F2E9CD365C04B81ED8C1D61A159163060CB64096A31E8B70277211B7T8QC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useumkogaly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Немыкина Ольга Викторовна</cp:lastModifiedBy>
  <cp:revision>125</cp:revision>
  <cp:lastPrinted>2013-07-04T09:12:00Z</cp:lastPrinted>
  <dcterms:created xsi:type="dcterms:W3CDTF">2010-05-12T03:41:00Z</dcterms:created>
  <dcterms:modified xsi:type="dcterms:W3CDTF">2013-07-04T12:37:00Z</dcterms:modified>
</cp:coreProperties>
</file>