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CD528C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  <w:r>
              <w:rPr>
                <w:b/>
                <w:bCs/>
                <w:color w:val="3366FF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584089" w:rsidRPr="00612F4E" w:rsidRDefault="00584089" w:rsidP="00584089">
      <w:pPr>
        <w:ind w:right="-2"/>
        <w:jc w:val="both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612F4E">
        <w:rPr>
          <w:color w:val="000000"/>
          <w:sz w:val="26"/>
          <w:szCs w:val="26"/>
        </w:rPr>
        <w:t xml:space="preserve"> </w:t>
      </w:r>
    </w:p>
    <w:p w:rsidR="00584089" w:rsidRPr="00612F4E" w:rsidRDefault="00584089" w:rsidP="00584089">
      <w:pPr>
        <w:ind w:right="-2"/>
        <w:jc w:val="both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 xml:space="preserve">в решение Думы города Когалыма </w:t>
      </w:r>
    </w:p>
    <w:p w:rsidR="00584089" w:rsidRPr="00612F4E" w:rsidRDefault="00584089" w:rsidP="00584089">
      <w:pPr>
        <w:ind w:right="-2"/>
        <w:jc w:val="both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от 20.06.2018 №204-ГД</w:t>
      </w:r>
    </w:p>
    <w:p w:rsidR="00584089" w:rsidRPr="00612F4E" w:rsidRDefault="00584089" w:rsidP="00584089">
      <w:pPr>
        <w:ind w:right="-2"/>
        <w:jc w:val="both"/>
        <w:rPr>
          <w:color w:val="000000"/>
          <w:sz w:val="26"/>
          <w:szCs w:val="26"/>
        </w:rPr>
      </w:pPr>
    </w:p>
    <w:p w:rsidR="00584089" w:rsidRPr="00EC4ADF" w:rsidRDefault="00584089" w:rsidP="00584089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 xml:space="preserve">В соответствии с Градостроительным </w:t>
      </w:r>
      <w:hyperlink r:id="rId7" w:history="1">
        <w:r w:rsidRPr="00EC4ADF">
          <w:rPr>
            <w:spacing w:val="-6"/>
            <w:sz w:val="26"/>
            <w:szCs w:val="26"/>
          </w:rPr>
          <w:t>кодексом</w:t>
        </w:r>
      </w:hyperlink>
      <w:r w:rsidRPr="00EC4ADF">
        <w:rPr>
          <w:spacing w:val="-6"/>
          <w:sz w:val="26"/>
          <w:szCs w:val="26"/>
        </w:rPr>
        <w:t xml:space="preserve"> Российской Федерации, Федеральным законом от 24.11.1995 №181-ФЗ «О социальной защите инвалидов в Российской Федерации», Законом Ханты-Мансийского автономного округа – Югры от 18.04.2007 №39-оз «О градостроительной деятельности на территории Ханты-Мансийского автономного округа – Югры», Уставом города Когалыма, учитывая результаты публичных слушаний от 27.05.2024, Дума города Когалыма РЕШИЛА:</w:t>
      </w:r>
    </w:p>
    <w:p w:rsidR="00584089" w:rsidRPr="00EC4ADF" w:rsidRDefault="00584089" w:rsidP="0058408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</w:p>
    <w:p w:rsidR="00584089" w:rsidRPr="00EC4ADF" w:rsidRDefault="00584089" w:rsidP="0058408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Внести в приложение к решению Думы города Когалыма от 20.06.2018 №204-ГД «Об утверждении правил благоустройства территории города Когалыма» (далее – Правила) следующие изменения:</w:t>
      </w:r>
    </w:p>
    <w:p w:rsidR="00584089" w:rsidRPr="00EC4ADF" w:rsidRDefault="00584089" w:rsidP="00584089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абзац седьмой статьи 2 Правил дополнить предложением следующего содержания: «Ребенок-инвалид - инвалид в возрасте до 18 лет.»;</w:t>
      </w:r>
    </w:p>
    <w:p w:rsidR="00584089" w:rsidRPr="00EC4ADF" w:rsidRDefault="00584089" w:rsidP="00584089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статье 3 Правил:</w:t>
      </w:r>
    </w:p>
    <w:p w:rsidR="00584089" w:rsidRPr="008C2EE9" w:rsidRDefault="008C2EE9" w:rsidP="008C2EE9">
      <w:pPr>
        <w:pStyle w:val="a7"/>
        <w:numPr>
          <w:ilvl w:val="3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8C2E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абзац пятый </w:t>
      </w:r>
      <w:r w:rsidR="00584089" w:rsidRPr="008C2E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части 3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584089" w:rsidRPr="008C2E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изложить в следующей редакции:</w:t>
      </w:r>
    </w:p>
    <w:p w:rsidR="00584089" w:rsidRPr="00EC4ADF" w:rsidRDefault="00584089" w:rsidP="00584089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«- улицы, дороги, внутриквартальные проезды и тротуары.»;</w:t>
      </w:r>
    </w:p>
    <w:p w:rsidR="00584089" w:rsidRPr="00EC4ADF" w:rsidRDefault="008C2EE9" w:rsidP="008C2EE9">
      <w:pPr>
        <w:pStyle w:val="a7"/>
        <w:numPr>
          <w:ilvl w:val="3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часть 3 </w:t>
      </w:r>
      <w:r w:rsidR="00E875C8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дополнить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пунктом 3.1 следующего содержания: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«3.1. Элементы благоустройства подразделяются на следующие виды: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1) архитектурные детали и конструктивные элементы фасадов, в том числе цокол</w:t>
      </w:r>
      <w:r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стилобат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карниз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парапет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выступы, колонны, пилястры, пилоны, столбы, полуколонны, балконы, лоджии, эркеры, фронтон, окна, витрины, входы, входные группы, элементы входов и входных групп (включая архитектурны</w:t>
      </w:r>
      <w:r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проем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дверные конструкции, пандус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навес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козыр</w:t>
      </w:r>
      <w:r>
        <w:rPr>
          <w:rFonts w:ascii="Times New Roman" w:hAnsi="Times New Roman" w:cs="Times New Roman"/>
          <w:spacing w:val="-6"/>
          <w:sz w:val="26"/>
          <w:szCs w:val="26"/>
        </w:rPr>
        <w:t>ь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лестниц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ступени, ограждени</w:t>
      </w:r>
      <w:r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приямк</w:t>
      </w:r>
      <w:r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), ворота;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2) аттракционы (не обладающие признаками капитальности);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3) водные устройства, не обладающие признаками капитальности, в том числе фонтаны, фонтанные комплексы, питьевые фонтанчики, бюветы, декоративные водоемы;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4) временные элементы благоустройства: элементы благоустройства, размещаемые на ограниченный временной период;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5) декоративные устройства: устройства для вертикального озеленения и цветочного оформления (в том числе шпалер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трельяж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перголы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>), вазоны, цветочницы;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6) некапитальные объекты: гараж</w:t>
      </w:r>
      <w:r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туалет</w:t>
      </w:r>
      <w:r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кабины для переодевания, навесы, беседки, остановочные павильоны (включая остановочные павильоны 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lastRenderedPageBreak/>
        <w:t>маршрутных транспортных средств с рекламными конструкциями и без рекламных конструкций, остановочные павильоны с нестационарными торговыми объектами), пункты взимания платы, плоскостные сооружения, открытые сценические комплексы (открытые сцены и эстрады), не являющиеся частями зданий, строений, сооружений;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7) нестационарные торговые объекты: павильон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палатк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киоск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тележк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лотк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торговы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автомат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передвижн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средств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развозной торговли, газетны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модул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летн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е кафе, сооружения в виде натяжных на сборном каркасе тентов для сезонной торговли;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8) оборудование: уличная мебель (в том числе скамьи, скамейк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-качели, диван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стол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качели, соф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) часы, почтовые ящики, детское игровое оборудование (в том числе качели, горки, качалки, карусели, песочницы, детские игровые комплексы, городки, песочны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дворик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тенев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навес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счеты, домик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лабиринт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), спортивное оборудование (в том числе бревн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канат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перекладин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баскетбольны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щит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стол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для настольного тенниса, тренажеры, турники, брусья, гимнастическ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стенк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гимнастически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комплекс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скамь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 упором, спортивн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трибун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стенк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для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перелезания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>, детски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спортивны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комплекс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комплекс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спортивного оборудования, спирал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рукоход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>, лиан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сетк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«Пирамида», спортивные ворота, рамп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рельс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), инженерное и техническое оборудование фасадов зданий, строений, сооружений (в том числе наружные блоки систем кондиционирования и вентиляции, вентиляционные трубопроводы, вентиляционные решетки, декоративные решетки, антенны (не являющиеся сооружением), видеокамеры наружного наблюдения, водосточные трубы, навесы, защитные решетки), коммунально-бытовое оборудование (в том числе контейнеры, урны, наземные блоки систем кондиционирования и вентиляции, контейнерные шкафы);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9) объекты для размещения информации, в том числе вывески, пилоны автозаправочных станций, указатели, информационные доски, меню, информационные щиты и стенды, знаки адресации;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10) объекты, предназначенные для организации дорожного движения, в том числе дорожные знаки, светофоры дорожные, устройства для регулирования дорожного движения, направляющие устройства (сигнальны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столбик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тумб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направляющи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островк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островк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безопасности);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11) ограждения, в том числе декоративн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дорожн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газонн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техническ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шлагбаум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парапет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приствольн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решетк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12) опоры, в том числе опор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дорожн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ых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знак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ов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опор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стационарного электрического освещения;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13) планировочное устройство: в том числе проезж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част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велосипедн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дорожк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сопряжения поверхностей (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отмостк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>, бортов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камн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пандус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лестниц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пешеходны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мостк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), озеленение (цветник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газон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рядовые и групповые посадки), пешеходные коммуникации (тротуар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алле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дорожк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тропинк</w:t>
      </w:r>
      <w:r w:rsidR="00F81E0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);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14) покрытия, в том числе грунтов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покрыти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газонн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покрыти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асфальтов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покрыти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мощени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полимерные покрытия, щебеночн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покрыти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песчано-гравийн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покрыти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плиточн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покрыти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15) произведения монументально-декоративного искусства (не обладающие признаками капитальности): памятник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памятны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знак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стел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обелиск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бюст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триумфальн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арк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триумфальн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колонн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городск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скульптур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не связанн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 увековечиванием памяти (не носит мемориальный характер), стату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lastRenderedPageBreak/>
        <w:t>мемориальн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доск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рисунк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роспис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мозаик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16) растительны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компонент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в том числе дерев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ья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кустарник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травянист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растени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лиан</w:t>
      </w:r>
      <w:r w:rsidR="0069369B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цветы;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17) рекламные конструкции, в том числе щит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строительн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сетк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перетяжк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электронн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табло, </w:t>
      </w:r>
      <w:r w:rsidR="00C117A4" w:rsidRPr="00EC4ADF">
        <w:rPr>
          <w:rFonts w:ascii="Times New Roman" w:hAnsi="Times New Roman" w:cs="Times New Roman"/>
          <w:spacing w:val="-6"/>
          <w:sz w:val="26"/>
          <w:szCs w:val="26"/>
        </w:rPr>
        <w:t>проекционн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C117A4" w:rsidRPr="00EC4ADF">
        <w:rPr>
          <w:rFonts w:ascii="Times New Roman" w:hAnsi="Times New Roman" w:cs="Times New Roman"/>
          <w:spacing w:val="-6"/>
          <w:sz w:val="26"/>
          <w:szCs w:val="26"/>
        </w:rPr>
        <w:t>е и ин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="00C117A4" w:rsidRPr="00EC4ADF">
        <w:rPr>
          <w:rFonts w:ascii="Times New Roman" w:hAnsi="Times New Roman" w:cs="Times New Roman"/>
          <w:spacing w:val="-6"/>
          <w:sz w:val="26"/>
          <w:szCs w:val="26"/>
        </w:rPr>
        <w:t>е оборудовани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е,</w:t>
      </w:r>
      <w:r w:rsidR="00C117A4"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предназначенн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е для проекции рекламы на любые поверхности, воздушные шары, аэростаты и иные технические средства стабильного территориального размещения (в том числе,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лайтпостер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>, театральны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афишны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стенд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линз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тумб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ситиборд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биллборд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суперсайт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>, флаг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стел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, пилон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>);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18) устройства наружного освещения и подсветки, в том числе объекты, предназначенные для освещения автомобильных дорог,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зануления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 и заземления, осветительные приборы, устройства крепления осветительных приборов и воздушных электрических линий наружного освещения: опоры, кронштейны, тросовые растяжки, траверсы и прочее, устройства управления установками наружным освещением;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19) элементы декора фасадов зданий, строений, сооружений, в том числе барельефы, горельефы, розетки, руст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EC4ADF">
        <w:rPr>
          <w:rFonts w:ascii="Times New Roman" w:hAnsi="Times New Roman" w:cs="Times New Roman"/>
          <w:spacing w:val="-6"/>
          <w:sz w:val="26"/>
          <w:szCs w:val="26"/>
        </w:rPr>
        <w:t xml:space="preserve">, наличники, тяги оконные, подоконные плиты, замковые камни, оконные и дверные обрамления, </w:t>
      </w:r>
      <w:proofErr w:type="spellStart"/>
      <w:r w:rsidRPr="00EC4ADF">
        <w:rPr>
          <w:rFonts w:ascii="Times New Roman" w:hAnsi="Times New Roman" w:cs="Times New Roman"/>
          <w:spacing w:val="-6"/>
          <w:sz w:val="26"/>
          <w:szCs w:val="26"/>
        </w:rPr>
        <w:t>металлодекор</w:t>
      </w:r>
      <w:r w:rsidR="00C117A4">
        <w:rPr>
          <w:rFonts w:ascii="Times New Roman" w:hAnsi="Times New Roman" w:cs="Times New Roman"/>
          <w:spacing w:val="-6"/>
          <w:sz w:val="26"/>
          <w:szCs w:val="26"/>
        </w:rPr>
        <w:t>ы</w:t>
      </w:r>
      <w:proofErr w:type="spellEnd"/>
      <w:r w:rsidRPr="00EC4ADF">
        <w:rPr>
          <w:rFonts w:ascii="Times New Roman" w:hAnsi="Times New Roman" w:cs="Times New Roman"/>
          <w:spacing w:val="-6"/>
          <w:sz w:val="26"/>
          <w:szCs w:val="26"/>
        </w:rPr>
        <w:t>, отделка фасадов (штукатурка, облицовка, окраска);</w:t>
      </w:r>
    </w:p>
    <w:p w:rsidR="00584089" w:rsidRPr="00EC4ADF" w:rsidRDefault="00584089" w:rsidP="0058408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C4ADF">
        <w:rPr>
          <w:rFonts w:ascii="Times New Roman" w:hAnsi="Times New Roman" w:cs="Times New Roman"/>
          <w:spacing w:val="-6"/>
          <w:sz w:val="26"/>
          <w:szCs w:val="26"/>
        </w:rPr>
        <w:t>20) элементы оформления населенного пункта к мероприятиям местного, регионального, всероссийского и международного значения.»;</w:t>
      </w:r>
    </w:p>
    <w:p w:rsidR="00584089" w:rsidRPr="00EC4ADF" w:rsidRDefault="00E875C8" w:rsidP="008C2EE9">
      <w:pPr>
        <w:pStyle w:val="a7"/>
        <w:numPr>
          <w:ilvl w:val="3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line="240" w:lineRule="auto"/>
        <w:ind w:hanging="101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пункт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4.5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части 4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изложить в следующей редакции: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«4.5. Собственники, арендаторы зданий, строений, сооружений и (или) уполномоченные ими лица обеспечивают: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1) поддержание технического и санитарного состояния фасадов;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2)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строительства, проектами благоустройства.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3) содержание, уборку территории в пределах границ земельного участка, предоставленного для эксплуатации объекта и прилегающей территории, а также содержание территории в пределах охранной зоны объекта (при установлении охранной зоны).»</w:t>
      </w:r>
      <w:r w:rsidR="008C2EE9">
        <w:rPr>
          <w:spacing w:val="-6"/>
          <w:sz w:val="26"/>
          <w:szCs w:val="26"/>
        </w:rPr>
        <w:t>;</w:t>
      </w:r>
    </w:p>
    <w:p w:rsidR="00584089" w:rsidRPr="00EC4ADF" w:rsidRDefault="00E875C8" w:rsidP="00584089">
      <w:pPr>
        <w:pStyle w:val="a7"/>
        <w:numPr>
          <w:ilvl w:val="3"/>
          <w:numId w:val="3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пункт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4.7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части 4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изложить в следующей редакции: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«4.7. Собственники, арендаторы, иные законные владельцы зданий, строений, сооружений, нестационарных объектов, земельных участков, являющиеся физическими лицами, не обладающими статусом индивидуального предпринимателя, обеспечивают: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1) поддержание технического и санитарного состояния фасадов;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2)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строительства, проектами благоустройства.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3) содержание территории в пределах границ принадлежащего им земельного участка (в том числе земельного участка, предоставленного для эксплуатации объекта).»;</w:t>
      </w:r>
    </w:p>
    <w:p w:rsidR="00584089" w:rsidRPr="00EC4ADF" w:rsidRDefault="00584089" w:rsidP="00584089">
      <w:pPr>
        <w:pStyle w:val="a7"/>
        <w:numPr>
          <w:ilvl w:val="2"/>
          <w:numId w:val="3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стать</w:t>
      </w:r>
      <w:r w:rsidR="00A70C7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ю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4 Правил </w:t>
      </w:r>
      <w:r w:rsidR="00A70C7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дополнить частью 19 </w:t>
      </w:r>
      <w:r w:rsidR="00E875C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следующего содержания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lastRenderedPageBreak/>
        <w:t>«</w:t>
      </w:r>
      <w:r w:rsidR="00A70C79">
        <w:rPr>
          <w:spacing w:val="-6"/>
          <w:sz w:val="26"/>
          <w:szCs w:val="26"/>
        </w:rPr>
        <w:t>19</w:t>
      </w:r>
      <w:r w:rsidRPr="00EC4ADF">
        <w:rPr>
          <w:spacing w:val="-6"/>
          <w:sz w:val="26"/>
          <w:szCs w:val="26"/>
        </w:rPr>
        <w:t>. Текущий ремонт фасадов осуществляется в случаях: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1) локальных повреждений, утраты отделочного слоя (штукатурки, облицовк</w:t>
      </w:r>
      <w:r w:rsidR="00A70C79">
        <w:rPr>
          <w:spacing w:val="-6"/>
          <w:sz w:val="26"/>
          <w:szCs w:val="26"/>
        </w:rPr>
        <w:t>и</w:t>
      </w:r>
      <w:r w:rsidRPr="00EC4ADF">
        <w:rPr>
          <w:spacing w:val="-6"/>
          <w:sz w:val="26"/>
          <w:szCs w:val="26"/>
        </w:rPr>
        <w:t>);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2) повреждения, утраты, выветривания примыканий, соединений и стыков отделки (швы стен облицовки), облицовки фасадов;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3) повреждения, разрушения герметизирующих заделок стыков панельных зданий без ремонта поверхности отделки;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 xml:space="preserve">4) повреждения и утрат цоколя в камне, облицовки с предварительной очисткой и последующей </w:t>
      </w:r>
      <w:proofErr w:type="spellStart"/>
      <w:r w:rsidRPr="00EC4ADF">
        <w:rPr>
          <w:spacing w:val="-6"/>
          <w:sz w:val="26"/>
          <w:szCs w:val="26"/>
        </w:rPr>
        <w:t>гидрофобизацией</w:t>
      </w:r>
      <w:proofErr w:type="spellEnd"/>
      <w:r w:rsidRPr="00EC4ADF">
        <w:rPr>
          <w:spacing w:val="-6"/>
          <w:sz w:val="26"/>
          <w:szCs w:val="26"/>
        </w:rPr>
        <w:t xml:space="preserve"> на всем цоколе;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5) повреждения, локальных утрат архитектурных деталей;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6) локальных повреждений, утрат конструктивных элементов от площади поверхности элементов, не влияющих на несущую способность элементов;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7) повреждения, утраты покрытия кровли;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8) повреждения, утраты покрытия (отливы) единично или на всем объекте;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 xml:space="preserve">9) повреждения, утраты (покрытия) элементов, деталей единично или полностью, ремонт </w:t>
      </w:r>
      <w:proofErr w:type="spellStart"/>
      <w:r w:rsidRPr="00EC4ADF">
        <w:rPr>
          <w:spacing w:val="-6"/>
          <w:sz w:val="26"/>
          <w:szCs w:val="26"/>
        </w:rPr>
        <w:t>отмостки</w:t>
      </w:r>
      <w:proofErr w:type="spellEnd"/>
      <w:r w:rsidRPr="00EC4ADF">
        <w:rPr>
          <w:spacing w:val="-6"/>
          <w:sz w:val="26"/>
          <w:szCs w:val="26"/>
        </w:rPr>
        <w:t xml:space="preserve"> здания локально или полная замена.»;</w:t>
      </w:r>
    </w:p>
    <w:p w:rsidR="00584089" w:rsidRPr="00EC4ADF" w:rsidRDefault="00584089" w:rsidP="00584089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статье 11 Правил:</w:t>
      </w:r>
    </w:p>
    <w:p w:rsidR="00584089" w:rsidRPr="00EC4ADF" w:rsidRDefault="00584089" w:rsidP="00584089">
      <w:pPr>
        <w:pStyle w:val="a7"/>
        <w:numPr>
          <w:ilvl w:val="3"/>
          <w:numId w:val="3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</w:t>
      </w:r>
      <w:r w:rsidR="00A70C7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абзаце первом 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части 8 слово «сообщений» заменить словом «сообщения», слова «от 31.07.2015 №237» заменить словами «от 05.10.2022 №402»;</w:t>
      </w:r>
    </w:p>
    <w:p w:rsidR="00584089" w:rsidRPr="00EC4ADF" w:rsidRDefault="00584089" w:rsidP="00584089">
      <w:pPr>
        <w:pStyle w:val="a7"/>
        <w:numPr>
          <w:ilvl w:val="3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части 9 цифру «10» заменить цифрой «11», слова «от 31.07.2015 №237» заменить словами «от 05.10.2022 №402».</w:t>
      </w:r>
    </w:p>
    <w:p w:rsidR="00584089" w:rsidRPr="00A70C79" w:rsidRDefault="00584089" w:rsidP="00584089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A70C7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части 1 статьи 18 Правил:</w:t>
      </w:r>
    </w:p>
    <w:p w:rsidR="00584089" w:rsidRPr="00EC4ADF" w:rsidRDefault="00584089" w:rsidP="00584089">
      <w:pPr>
        <w:pStyle w:val="a7"/>
        <w:numPr>
          <w:ilvl w:val="3"/>
          <w:numId w:val="3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в абзаце шестом слова «высота 1,2 - 2,0 метра» заменить словами «высота 0,6 – 1,2 метра»;</w:t>
      </w:r>
    </w:p>
    <w:p w:rsidR="0097784C" w:rsidRPr="0097784C" w:rsidRDefault="0097784C" w:rsidP="009836B4">
      <w:pPr>
        <w:pStyle w:val="a7"/>
        <w:numPr>
          <w:ilvl w:val="3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97784C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абзаце восьмом слова «не менее 0,5 метра» заменить словами «не менее 0,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</w:t>
      </w:r>
      <w:r w:rsidRPr="0097784C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метра»;</w:t>
      </w:r>
    </w:p>
    <w:p w:rsidR="00584089" w:rsidRPr="008B7DE7" w:rsidRDefault="00584089" w:rsidP="00584089">
      <w:pPr>
        <w:pStyle w:val="a7"/>
        <w:numPr>
          <w:ilvl w:val="3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8B7DE7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дополнить абзацем восьмым следующего содержания:</w:t>
      </w:r>
    </w:p>
    <w:p w:rsidR="00584089" w:rsidRPr="008B7DE7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8B7DE7">
        <w:rPr>
          <w:spacing w:val="-6"/>
          <w:sz w:val="26"/>
          <w:szCs w:val="26"/>
        </w:rPr>
        <w:t>«- дорожное ограждение - 0,9 м</w:t>
      </w:r>
      <w:r w:rsidR="00A70C79">
        <w:rPr>
          <w:spacing w:val="-6"/>
          <w:sz w:val="26"/>
          <w:szCs w:val="26"/>
        </w:rPr>
        <w:t>етра</w:t>
      </w:r>
      <w:r w:rsidRPr="008B7DE7">
        <w:rPr>
          <w:spacing w:val="-6"/>
          <w:sz w:val="26"/>
          <w:szCs w:val="26"/>
        </w:rPr>
        <w:t>, если иное не установлено требованиями действующего законодательства.»;</w:t>
      </w:r>
    </w:p>
    <w:p w:rsidR="00584089" w:rsidRPr="008B7DE7" w:rsidRDefault="00584089" w:rsidP="00584089">
      <w:pPr>
        <w:pStyle w:val="a7"/>
        <w:numPr>
          <w:ilvl w:val="3"/>
          <w:numId w:val="3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8B7DE7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абзац восьмой считать </w:t>
      </w:r>
      <w:r w:rsidR="00A70C7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абзацем </w:t>
      </w:r>
      <w:r w:rsidRPr="008B7DE7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девятым.</w:t>
      </w:r>
    </w:p>
    <w:p w:rsidR="00584089" w:rsidRPr="00EC4ADF" w:rsidRDefault="00584089" w:rsidP="00584089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статье 19 Правил:</w:t>
      </w:r>
    </w:p>
    <w:p w:rsidR="00584089" w:rsidRPr="00EC4ADF" w:rsidRDefault="00584089" w:rsidP="00584089">
      <w:pPr>
        <w:pStyle w:val="a7"/>
        <w:numPr>
          <w:ilvl w:val="3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часть 4 дополнить абзацем вторым следующего содержания: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«В отношении элементов декоров фасадов зданий, строений, сооружений требуется разработка проекта благоустройства, а также согласование проекта благоустройства с отделом архитектуры и градостроительства Администрации города Когалыма.»;</w:t>
      </w:r>
    </w:p>
    <w:p w:rsidR="00584089" w:rsidRPr="00EC4ADF" w:rsidRDefault="00584089" w:rsidP="00584089">
      <w:pPr>
        <w:pStyle w:val="a7"/>
        <w:numPr>
          <w:ilvl w:val="3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дополнить частями 11-24 следующего содержания: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«11. 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11.1. Капитальный ремонт фасадов не должен содержать виды работ по капитальному ремонту здания, строения, сооружения.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11.2. Капитальный ремонт фасадов проводится одновременно в отношении всех фасадов здания, строения, сооружения.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 xml:space="preserve">11.3. В случае если здание, строение, сооружение находится на линии уличного фронта застройки с </w:t>
      </w:r>
      <w:proofErr w:type="spellStart"/>
      <w:r w:rsidRPr="00EC4ADF">
        <w:rPr>
          <w:spacing w:val="-6"/>
          <w:sz w:val="26"/>
          <w:szCs w:val="26"/>
        </w:rPr>
        <w:t>внутримикрорайонной</w:t>
      </w:r>
      <w:proofErr w:type="spellEnd"/>
      <w:r w:rsidRPr="00EC4ADF">
        <w:rPr>
          <w:spacing w:val="-6"/>
          <w:sz w:val="26"/>
          <w:szCs w:val="26"/>
        </w:rPr>
        <w:t xml:space="preserve"> территорией замкнутого типа, фасады здания могут ремонтироваться отдельно по принадлежности (лицевой, либо дворовой фасад).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lastRenderedPageBreak/>
        <w:t>11.4. Капитальный ремонт фасадов осуществляется на основании проекта благоустройства.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12. Проект благоустройства фасадов разрабатывается физическими, юридическими лицами на основании технического задания по разработке проекта благоустройства, утвержденного заказчиком.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13. Проект благоустройства фасадов подлежит согласованию в установленном порядке.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14. Согласованный проект благоустройства явля</w:t>
      </w:r>
      <w:r w:rsidR="00F60235">
        <w:rPr>
          <w:spacing w:val="-6"/>
          <w:sz w:val="26"/>
          <w:szCs w:val="26"/>
        </w:rPr>
        <w:t>е</w:t>
      </w:r>
      <w:r w:rsidRPr="00EC4ADF">
        <w:rPr>
          <w:spacing w:val="-6"/>
          <w:sz w:val="26"/>
          <w:szCs w:val="26"/>
        </w:rPr>
        <w:t>тся основанием для производства капитального ремонта фасадов здания, строения, сооружения.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15. Текущий и капитальный ремонты фасадов,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16. В случае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зданий.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17. Работы, связанные с реставрацией, ремонтом и покраской фасадов, изменением внешнего облика зданий и внешних конструктивных элементов нежилых зданий, строений, сооружений, наружных частей стен нежилых помещений в жилых домах, выполняются на указанных объектах по мере необходимости.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18. Необходимость и периодичность проведения работ по ремонту и окраске фасадов зданий определяются владельцами, исходя из существующего состояния фасада.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 xml:space="preserve">19. </w:t>
      </w:r>
      <w:r w:rsidR="0074576D" w:rsidRPr="0074576D">
        <w:rPr>
          <w:spacing w:val="-6"/>
          <w:sz w:val="26"/>
          <w:szCs w:val="26"/>
        </w:rPr>
        <w:t>В случае выявления неисправного состояния фасадов здания, строения или сооружения, предусматривающего наличие случаев, указанных в настоящей статье, должностные лица Администрации города Когалыма, уполномоченные на составление протоколов об административных правонарушениях в сфере благоустройства территории города Когалыма, направляют собственнику, пользователю такого объекта предписание об устранении таких неисправностей, осуществлении текущего ремонта и приведении фасадов в надлежащее состояние.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 xml:space="preserve">20. 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Размещение наружных кондиционеров и антенн-тарелок на зданиях, расположенных вдоль </w:t>
      </w:r>
      <w:r w:rsidR="001B4681">
        <w:rPr>
          <w:spacing w:val="-6"/>
          <w:sz w:val="26"/>
          <w:szCs w:val="26"/>
        </w:rPr>
        <w:t>центральных</w:t>
      </w:r>
      <w:r w:rsidRPr="00EC4ADF">
        <w:rPr>
          <w:spacing w:val="-6"/>
          <w:sz w:val="26"/>
          <w:szCs w:val="26"/>
        </w:rPr>
        <w:t xml:space="preserve"> улиц, следует размещать со стороны дворовых фасадов.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21. Запрещается самовольная реконструкция балкона, приводящая к конструктивному изменению фасада здания, а также загромождение различными предметами домашнего обихода эвакуационных путей, используемых на случай пожара.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22. Окраска ограждений балконов, наружных переплетов окон и дверей должна производиться в цветовой гамме, принятой для окраски аналогичных элементов по всему фасаду дома, здания.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23. Запрещается размещение на фасадах зданий, строений, сооружений наружных проводов, розеток и иных предметов, не предусмотренных проектной документацией.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24. Документация в области благоустройства: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1. Документацией в области благоустройства является: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lastRenderedPageBreak/>
        <w:t>1) концептуальный проект (дизайн-проект) архитектурного и художественного оформления объектов благоустройства (далее - концептуальный проект);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2) проект благоустройства (комплексный проект благоустройства) объектов и элементов благоустройства (далее - проект благоустройства);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3) схема благоустройства (план благоустройства, схема планировочной организации земельного участка) территории, участка территории, объекта благоустройства, части объекта благоустройства, отражающая размещение существующих и планируемых к размещению элементов благоустройства.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2. Облагораживание территории города осуществляется на основании документации в области благоустройства.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2.1. Заказчиками документации в области благоустройства являются органы местного самоуправления города, физические и юридические лица.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2.2. Исполнителями документации в области благоустройства являются физические и юридические лица, выполняющие работы на основании муниципального контракта, договора или на добровольной основе.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2.3. Создание и размещение элементов благоустройства должн</w:t>
      </w:r>
      <w:r w:rsidR="00AC3E76">
        <w:rPr>
          <w:spacing w:val="-6"/>
          <w:sz w:val="26"/>
          <w:szCs w:val="26"/>
        </w:rPr>
        <w:t>о</w:t>
      </w:r>
      <w:r w:rsidRPr="00EC4ADF">
        <w:rPr>
          <w:spacing w:val="-6"/>
          <w:sz w:val="26"/>
          <w:szCs w:val="26"/>
        </w:rPr>
        <w:t xml:space="preserve"> вестись в соответствии с согласованной документацией в области благоустройства. При замене, ремонте, эксплуатации элементов благоустройства не допускается изменение их размещения, внешнего вида, цвета и иных параметров, установленных документацией в области благоустройства.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2.4. Документация в области благоустройства не разрабатывается в отношении: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1) ограждений, устанавливаемых на период проведения работ по благоустройству, а также строительства и реконструкции объектов капитального строительства;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2) работ по текущему ремонту фасадов зданий, строений, сооружений и связанных с ним работ по восстановлению элементов декора;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3) работ по капитальному ремонту фасадов зданий, строений, сооружений в случаях, предусмотренных настоящими правилами и связанные с ним работы по восстановлению элементов декора;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4) установки временных конструкций, поддерживающих архитектурные детали фасада от возможного обрушения (при аварийном состоянии);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5) временного удаления элементов декора фасадов, находящихся в аварийном состоянии;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6) работ по содержанию территорий зеленых насаждений и ремонту объектов зеленых насаждений, а также работ по компенсационному озеленению;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7) в иных случаях, предусмотренных настоящими Правилами.</w:t>
      </w:r>
    </w:p>
    <w:p w:rsidR="00584089" w:rsidRPr="00EC4ADF" w:rsidRDefault="00584089" w:rsidP="005840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3. Содержание и облагораживание дворовых территорий, территорий города в границах земельных участков, находящихся в собственности города, и земельных участков, и земель, государственная собственность на которые не разграничена, осуществля</w:t>
      </w:r>
      <w:r w:rsidR="00CC1F07">
        <w:rPr>
          <w:spacing w:val="-6"/>
          <w:sz w:val="26"/>
          <w:szCs w:val="26"/>
        </w:rPr>
        <w:t>е</w:t>
      </w:r>
      <w:r w:rsidRPr="00EC4ADF">
        <w:rPr>
          <w:spacing w:val="-6"/>
          <w:sz w:val="26"/>
          <w:szCs w:val="26"/>
        </w:rPr>
        <w:t>тся на основании документации в области благоустройства в соответствии с муниципальными нормативными правовыми актами Администрации города Когалыма, настоящими Правилами.»;</w:t>
      </w:r>
    </w:p>
    <w:p w:rsidR="00584089" w:rsidRPr="00EC4ADF" w:rsidRDefault="00584089" w:rsidP="00584089">
      <w:pPr>
        <w:pStyle w:val="a7"/>
        <w:numPr>
          <w:ilvl w:val="2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приложении к Правилам:</w:t>
      </w:r>
    </w:p>
    <w:p w:rsidR="00584089" w:rsidRPr="00EC4ADF" w:rsidRDefault="00584089" w:rsidP="00584089">
      <w:pPr>
        <w:pStyle w:val="a7"/>
        <w:numPr>
          <w:ilvl w:val="3"/>
          <w:numId w:val="3"/>
        </w:numPr>
        <w:tabs>
          <w:tab w:val="left" w:pos="720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статье 1:</w:t>
      </w:r>
    </w:p>
    <w:p w:rsidR="00584089" w:rsidRPr="00EC4ADF" w:rsidRDefault="001B4681" w:rsidP="00584089">
      <w:pPr>
        <w:pStyle w:val="a7"/>
        <w:numPr>
          <w:ilvl w:val="4"/>
          <w:numId w:val="3"/>
        </w:num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часть 2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дополнить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пунктами</w:t>
      </w:r>
      <w:r w:rsidR="00D530F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2.1, 2.2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следующего содержания:</w:t>
      </w:r>
    </w:p>
    <w:p w:rsidR="00584089" w:rsidRPr="004119EF" w:rsidRDefault="00584089" w:rsidP="00584089">
      <w:pPr>
        <w:widowControl w:val="0"/>
        <w:tabs>
          <w:tab w:val="left" w:pos="720"/>
          <w:tab w:val="left" w:pos="993"/>
        </w:tabs>
        <w:autoSpaceDE w:val="0"/>
        <w:autoSpaceDN w:val="0"/>
        <w:ind w:firstLine="709"/>
        <w:contextualSpacing/>
        <w:jc w:val="both"/>
        <w:rPr>
          <w:spacing w:val="-6"/>
          <w:sz w:val="26"/>
          <w:szCs w:val="26"/>
        </w:rPr>
      </w:pPr>
      <w:r w:rsidRPr="004119EF">
        <w:rPr>
          <w:spacing w:val="-6"/>
          <w:sz w:val="26"/>
          <w:szCs w:val="26"/>
        </w:rPr>
        <w:t>«</w:t>
      </w:r>
      <w:r w:rsidR="00D530F0" w:rsidRPr="004119EF">
        <w:rPr>
          <w:spacing w:val="-6"/>
          <w:sz w:val="26"/>
          <w:szCs w:val="26"/>
        </w:rPr>
        <w:t>2.1. П</w:t>
      </w:r>
      <w:r w:rsidRPr="004119EF">
        <w:rPr>
          <w:spacing w:val="-6"/>
          <w:sz w:val="26"/>
          <w:szCs w:val="26"/>
        </w:rPr>
        <w:t>ри проектировании объектов для размещения информации следует соблюдать требования Федеральных законов от 13.03.2006 №38-ФЗ «О рекламе», от 01.06.2005 №53-ФЗ «О государствен</w:t>
      </w:r>
      <w:r w:rsidR="00D530F0" w:rsidRPr="004119EF">
        <w:rPr>
          <w:spacing w:val="-6"/>
          <w:sz w:val="26"/>
          <w:szCs w:val="26"/>
        </w:rPr>
        <w:t>ном языке Российской Федерации».</w:t>
      </w:r>
    </w:p>
    <w:p w:rsidR="00584089" w:rsidRPr="004119EF" w:rsidRDefault="00D530F0" w:rsidP="00584089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4119EF">
        <w:rPr>
          <w:spacing w:val="-6"/>
          <w:sz w:val="26"/>
          <w:szCs w:val="26"/>
        </w:rPr>
        <w:t>2.2. П</w:t>
      </w:r>
      <w:r w:rsidR="00584089" w:rsidRPr="004119EF">
        <w:rPr>
          <w:spacing w:val="-6"/>
          <w:sz w:val="26"/>
          <w:szCs w:val="26"/>
        </w:rPr>
        <w:t>ри проектировании объектов для размещения информации должно быть безопасно для людей, удобно в эксплуатации и ремонте, с высоким уровнем художественного и технического исполнения, с использованием качественных, долговечных материалов с высокими декоративными и эксплуатационными свойствами.».</w:t>
      </w:r>
    </w:p>
    <w:p w:rsidR="00584089" w:rsidRPr="00EC4ADF" w:rsidRDefault="00584089" w:rsidP="00584089">
      <w:pPr>
        <w:pStyle w:val="a7"/>
        <w:numPr>
          <w:ilvl w:val="4"/>
          <w:numId w:val="3"/>
        </w:num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пункт 10.1 </w:t>
      </w:r>
      <w:r w:rsidR="009863E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части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10 дополнить абзацами двадцать </w:t>
      </w:r>
      <w:r w:rsidR="009863E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пятым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двадцать </w:t>
      </w:r>
      <w:r w:rsidR="009863E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шестым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следующего содержания:</w:t>
      </w:r>
    </w:p>
    <w:p w:rsidR="00584089" w:rsidRPr="00EC4ADF" w:rsidRDefault="00584089" w:rsidP="00584089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«выступ</w:t>
      </w:r>
      <w:r w:rsidR="009863E2">
        <w:rPr>
          <w:spacing w:val="-6"/>
          <w:sz w:val="26"/>
          <w:szCs w:val="26"/>
        </w:rPr>
        <w:t>а</w:t>
      </w:r>
      <w:r w:rsidRPr="00EC4ADF">
        <w:rPr>
          <w:spacing w:val="-6"/>
          <w:sz w:val="26"/>
          <w:szCs w:val="26"/>
        </w:rPr>
        <w:t xml:space="preserve"> за боковые пределы фасада и без соблюдения архитектурных членений фасада;</w:t>
      </w:r>
    </w:p>
    <w:p w:rsidR="00584089" w:rsidRPr="00EC4ADF" w:rsidRDefault="009863E2" w:rsidP="00584089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размещения вывесок </w:t>
      </w:r>
      <w:r w:rsidR="00584089" w:rsidRPr="00EC4ADF">
        <w:rPr>
          <w:spacing w:val="-6"/>
          <w:sz w:val="26"/>
          <w:szCs w:val="26"/>
        </w:rPr>
        <w:t>на ограждениях и воротах.»;</w:t>
      </w:r>
    </w:p>
    <w:p w:rsidR="00584089" w:rsidRPr="00502DB3" w:rsidRDefault="00584089" w:rsidP="00584089">
      <w:pPr>
        <w:pStyle w:val="a7"/>
        <w:numPr>
          <w:ilvl w:val="4"/>
          <w:numId w:val="3"/>
        </w:num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502DB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пункт 10.2 </w:t>
      </w:r>
      <w:r w:rsidR="009863E2" w:rsidRPr="00502DB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части</w:t>
      </w:r>
      <w:r w:rsidRPr="00502DB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10 дополнить абзацами двадцать первым, двадцать вторым следующего содержания:</w:t>
      </w:r>
    </w:p>
    <w:p w:rsidR="00584089" w:rsidRPr="00EC4ADF" w:rsidRDefault="00584089" w:rsidP="00584089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«выступ</w:t>
      </w:r>
      <w:r w:rsidR="009863E2">
        <w:rPr>
          <w:spacing w:val="-6"/>
          <w:sz w:val="26"/>
          <w:szCs w:val="26"/>
        </w:rPr>
        <w:t>а</w:t>
      </w:r>
      <w:r w:rsidRPr="00EC4ADF">
        <w:rPr>
          <w:spacing w:val="-6"/>
          <w:sz w:val="26"/>
          <w:szCs w:val="26"/>
        </w:rPr>
        <w:t xml:space="preserve"> за боковые пределы фасада и без соблюдения архитектурных членений фасада;</w:t>
      </w:r>
    </w:p>
    <w:p w:rsidR="00584089" w:rsidRPr="00EC4ADF" w:rsidRDefault="009863E2" w:rsidP="00584089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9863E2">
        <w:rPr>
          <w:spacing w:val="-6"/>
          <w:sz w:val="26"/>
          <w:szCs w:val="26"/>
        </w:rPr>
        <w:t xml:space="preserve">размещения вывесок </w:t>
      </w:r>
      <w:r w:rsidR="00584089" w:rsidRPr="00EC4ADF">
        <w:rPr>
          <w:spacing w:val="-6"/>
          <w:sz w:val="26"/>
          <w:szCs w:val="26"/>
        </w:rPr>
        <w:t>на ограждениях и воротах.»;</w:t>
      </w:r>
    </w:p>
    <w:p w:rsidR="00584089" w:rsidRPr="00EC4ADF" w:rsidRDefault="009863E2" w:rsidP="00584089">
      <w:pPr>
        <w:pStyle w:val="a7"/>
        <w:numPr>
          <w:ilvl w:val="3"/>
          <w:numId w:val="3"/>
        </w:numPr>
        <w:tabs>
          <w:tab w:val="left" w:pos="720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часть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</w:t>
      </w:r>
      <w:r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584089" w:rsidRPr="00EC4AD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дополнить абзацем вторым следующего содержания:</w:t>
      </w:r>
    </w:p>
    <w:p w:rsidR="00584089" w:rsidRPr="00EC4ADF" w:rsidRDefault="00584089" w:rsidP="0058408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EC4ADF">
        <w:rPr>
          <w:spacing w:val="-6"/>
          <w:sz w:val="26"/>
          <w:szCs w:val="26"/>
        </w:rPr>
        <w:t>«При проектировани</w:t>
      </w:r>
      <w:r w:rsidR="009863E2">
        <w:rPr>
          <w:spacing w:val="-6"/>
          <w:sz w:val="26"/>
          <w:szCs w:val="26"/>
        </w:rPr>
        <w:t>и</w:t>
      </w:r>
      <w:r w:rsidRPr="00EC4ADF">
        <w:rPr>
          <w:spacing w:val="-6"/>
          <w:sz w:val="26"/>
          <w:szCs w:val="26"/>
        </w:rPr>
        <w:t xml:space="preserve"> отнесенных вывесок и настенных указателей на фасадах зданий, строений, сооружений с большим количеством арендаторов или собственников с одним или несколькими общими входами, а также на торцевых (брандмауэрных) частях здания, строения, сооружения или компактно на локальном участке фасада должно осуществляться упорядоченно и комплексно.»;</w:t>
      </w:r>
    </w:p>
    <w:p w:rsidR="009863E2" w:rsidRDefault="009863E2" w:rsidP="0058408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</w:p>
    <w:p w:rsidR="0074576D" w:rsidRPr="0074576D" w:rsidRDefault="0074576D" w:rsidP="0074576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74576D">
        <w:rPr>
          <w:spacing w:val="-6"/>
          <w:sz w:val="26"/>
          <w:szCs w:val="26"/>
        </w:rPr>
        <w:t>2. Подпункт 1.1.1 пункта 1.1 части 1 настоящего решения вступает в силу с 01.03.2025.</w:t>
      </w:r>
    </w:p>
    <w:p w:rsidR="0074576D" w:rsidRPr="00EC4ADF" w:rsidRDefault="0074576D" w:rsidP="0058408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</w:p>
    <w:p w:rsidR="00584089" w:rsidRPr="00EC4ADF" w:rsidRDefault="0074576D" w:rsidP="00584089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584089" w:rsidRPr="00EC4ADF">
        <w:rPr>
          <w:spacing w:val="-6"/>
          <w:sz w:val="26"/>
          <w:szCs w:val="26"/>
        </w:rPr>
        <w:t xml:space="preserve">. Опубликовать настоящее решение в сетевом издании «Когалымский вестник»: </w:t>
      </w:r>
      <w:r w:rsidR="00584089" w:rsidRPr="00EC4ADF">
        <w:rPr>
          <w:spacing w:val="-6"/>
          <w:sz w:val="26"/>
          <w:szCs w:val="26"/>
          <w:lang w:val="en-US"/>
        </w:rPr>
        <w:t>KOGVESTI</w:t>
      </w:r>
      <w:r w:rsidR="00584089" w:rsidRPr="00EC4ADF">
        <w:rPr>
          <w:spacing w:val="-6"/>
          <w:sz w:val="26"/>
          <w:szCs w:val="26"/>
        </w:rPr>
        <w:t>.</w:t>
      </w:r>
      <w:r w:rsidR="00584089" w:rsidRPr="00EC4ADF">
        <w:rPr>
          <w:spacing w:val="-6"/>
          <w:sz w:val="26"/>
          <w:szCs w:val="26"/>
          <w:lang w:val="en-US"/>
        </w:rPr>
        <w:t>RU</w:t>
      </w:r>
      <w:r w:rsidR="00584089" w:rsidRPr="00EC4ADF">
        <w:rPr>
          <w:spacing w:val="-6"/>
          <w:sz w:val="26"/>
          <w:szCs w:val="26"/>
        </w:rPr>
        <w:t>.</w:t>
      </w:r>
    </w:p>
    <w:p w:rsidR="00584089" w:rsidRDefault="00584089" w:rsidP="00584089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584089" w:rsidRDefault="00584089" w:rsidP="00584089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584089" w:rsidRPr="00612F4E" w:rsidRDefault="00584089" w:rsidP="00584089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5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3956"/>
      </w:tblGrid>
      <w:tr w:rsidR="00584089" w:rsidRPr="00612F4E" w:rsidTr="00A201D1">
        <w:tc>
          <w:tcPr>
            <w:tcW w:w="4831" w:type="dxa"/>
          </w:tcPr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Председатель</w:t>
            </w:r>
          </w:p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Думы города Когалыма</w:t>
            </w:r>
          </w:p>
          <w:p w:rsidR="00584089" w:rsidRPr="00612F4E" w:rsidRDefault="00584089" w:rsidP="00A201D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_____________</w:t>
            </w:r>
            <w:proofErr w:type="spellStart"/>
            <w:r w:rsidRPr="00612F4E">
              <w:rPr>
                <w:sz w:val="26"/>
                <w:szCs w:val="26"/>
              </w:rPr>
              <w:t>А.Ю.Говорищева</w:t>
            </w:r>
            <w:proofErr w:type="spellEnd"/>
          </w:p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6" w:type="dxa"/>
          </w:tcPr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 xml:space="preserve">Глава </w:t>
            </w:r>
          </w:p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города Когалыма</w:t>
            </w:r>
          </w:p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84089" w:rsidRPr="00612F4E" w:rsidRDefault="00584089" w:rsidP="00A20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_____________Н.Н.Пальчиков</w:t>
            </w:r>
          </w:p>
        </w:tc>
      </w:tr>
    </w:tbl>
    <w:p w:rsidR="00584089" w:rsidRDefault="00584089" w:rsidP="00584089">
      <w:pPr>
        <w:pStyle w:val="af"/>
        <w:ind w:firstLine="4962"/>
        <w:rPr>
          <w:sz w:val="26"/>
          <w:szCs w:val="26"/>
        </w:rPr>
      </w:pPr>
    </w:p>
    <w:p w:rsidR="00584089" w:rsidRDefault="00584089" w:rsidP="00584089">
      <w:pPr>
        <w:pStyle w:val="af"/>
        <w:ind w:firstLine="4962"/>
        <w:rPr>
          <w:sz w:val="26"/>
          <w:szCs w:val="26"/>
        </w:rPr>
      </w:pPr>
    </w:p>
    <w:p w:rsidR="00584089" w:rsidRDefault="00584089" w:rsidP="00584089">
      <w:pPr>
        <w:pStyle w:val="af"/>
        <w:ind w:firstLine="4962"/>
        <w:rPr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3D8"/>
    <w:rsid w:val="00015A6A"/>
    <w:rsid w:val="00016D3A"/>
    <w:rsid w:val="0002133E"/>
    <w:rsid w:val="000569B5"/>
    <w:rsid w:val="00065BCF"/>
    <w:rsid w:val="00082085"/>
    <w:rsid w:val="000A27E7"/>
    <w:rsid w:val="000B2FB4"/>
    <w:rsid w:val="000F0569"/>
    <w:rsid w:val="00123B3D"/>
    <w:rsid w:val="001438BB"/>
    <w:rsid w:val="001559DF"/>
    <w:rsid w:val="00171A84"/>
    <w:rsid w:val="001B4681"/>
    <w:rsid w:val="001D0927"/>
    <w:rsid w:val="001E328E"/>
    <w:rsid w:val="00201088"/>
    <w:rsid w:val="00207678"/>
    <w:rsid w:val="00250AB3"/>
    <w:rsid w:val="00270DAE"/>
    <w:rsid w:val="0029554F"/>
    <w:rsid w:val="002B10AF"/>
    <w:rsid w:val="002B48E8"/>
    <w:rsid w:val="002B49A0"/>
    <w:rsid w:val="002C0D81"/>
    <w:rsid w:val="002D5593"/>
    <w:rsid w:val="002E0A30"/>
    <w:rsid w:val="002F1501"/>
    <w:rsid w:val="002F7936"/>
    <w:rsid w:val="00300D9B"/>
    <w:rsid w:val="00301425"/>
    <w:rsid w:val="00306041"/>
    <w:rsid w:val="00313DAF"/>
    <w:rsid w:val="003447F7"/>
    <w:rsid w:val="003A0CA3"/>
    <w:rsid w:val="003A6578"/>
    <w:rsid w:val="003B0B72"/>
    <w:rsid w:val="003D0D20"/>
    <w:rsid w:val="003D6A0D"/>
    <w:rsid w:val="003D7228"/>
    <w:rsid w:val="003E5C97"/>
    <w:rsid w:val="003F587E"/>
    <w:rsid w:val="004119EF"/>
    <w:rsid w:val="0043438A"/>
    <w:rsid w:val="004514C9"/>
    <w:rsid w:val="004F33B1"/>
    <w:rsid w:val="004F6241"/>
    <w:rsid w:val="00502DB3"/>
    <w:rsid w:val="005276B0"/>
    <w:rsid w:val="00544698"/>
    <w:rsid w:val="00544806"/>
    <w:rsid w:val="005500E4"/>
    <w:rsid w:val="00584089"/>
    <w:rsid w:val="005963AE"/>
    <w:rsid w:val="006015ED"/>
    <w:rsid w:val="00625AA2"/>
    <w:rsid w:val="00635680"/>
    <w:rsid w:val="006429F8"/>
    <w:rsid w:val="0065731C"/>
    <w:rsid w:val="0069369B"/>
    <w:rsid w:val="006E0CF1"/>
    <w:rsid w:val="00705054"/>
    <w:rsid w:val="00705B4C"/>
    <w:rsid w:val="007077BF"/>
    <w:rsid w:val="007176B0"/>
    <w:rsid w:val="0074576D"/>
    <w:rsid w:val="00747B75"/>
    <w:rsid w:val="007C24AA"/>
    <w:rsid w:val="007D1C62"/>
    <w:rsid w:val="007E28C2"/>
    <w:rsid w:val="007E5B94"/>
    <w:rsid w:val="007F152F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2EE9"/>
    <w:rsid w:val="008C7E24"/>
    <w:rsid w:val="008D2DB3"/>
    <w:rsid w:val="008D68E8"/>
    <w:rsid w:val="00905924"/>
    <w:rsid w:val="0093349F"/>
    <w:rsid w:val="00952EC3"/>
    <w:rsid w:val="0097784C"/>
    <w:rsid w:val="00982A86"/>
    <w:rsid w:val="0098458C"/>
    <w:rsid w:val="009863E2"/>
    <w:rsid w:val="009C47D2"/>
    <w:rsid w:val="00A01750"/>
    <w:rsid w:val="00A35FD8"/>
    <w:rsid w:val="00A41D79"/>
    <w:rsid w:val="00A564E7"/>
    <w:rsid w:val="00A70C79"/>
    <w:rsid w:val="00AC3E76"/>
    <w:rsid w:val="00AE3A79"/>
    <w:rsid w:val="00AE6CEC"/>
    <w:rsid w:val="00B141E0"/>
    <w:rsid w:val="00B22DDA"/>
    <w:rsid w:val="00B25576"/>
    <w:rsid w:val="00B27865"/>
    <w:rsid w:val="00B44BE6"/>
    <w:rsid w:val="00B71C99"/>
    <w:rsid w:val="00BB1866"/>
    <w:rsid w:val="00BC37E6"/>
    <w:rsid w:val="00BC4E6F"/>
    <w:rsid w:val="00BD6065"/>
    <w:rsid w:val="00BE72D5"/>
    <w:rsid w:val="00C117A4"/>
    <w:rsid w:val="00C176D8"/>
    <w:rsid w:val="00C27247"/>
    <w:rsid w:val="00C31EEF"/>
    <w:rsid w:val="00C700C4"/>
    <w:rsid w:val="00C700F3"/>
    <w:rsid w:val="00C912D0"/>
    <w:rsid w:val="00CB2627"/>
    <w:rsid w:val="00CC1F07"/>
    <w:rsid w:val="00CC367F"/>
    <w:rsid w:val="00CD48DF"/>
    <w:rsid w:val="00CD528C"/>
    <w:rsid w:val="00CF6B89"/>
    <w:rsid w:val="00D52DB6"/>
    <w:rsid w:val="00D530F0"/>
    <w:rsid w:val="00D5489C"/>
    <w:rsid w:val="00D9105C"/>
    <w:rsid w:val="00DC4E03"/>
    <w:rsid w:val="00E275C8"/>
    <w:rsid w:val="00E875C8"/>
    <w:rsid w:val="00EB75CB"/>
    <w:rsid w:val="00EC17E6"/>
    <w:rsid w:val="00EC6177"/>
    <w:rsid w:val="00ED41B6"/>
    <w:rsid w:val="00ED5C7C"/>
    <w:rsid w:val="00ED62A2"/>
    <w:rsid w:val="00ED680E"/>
    <w:rsid w:val="00EE539C"/>
    <w:rsid w:val="00F05A38"/>
    <w:rsid w:val="00F06198"/>
    <w:rsid w:val="00F44025"/>
    <w:rsid w:val="00F5080D"/>
    <w:rsid w:val="00F60235"/>
    <w:rsid w:val="00F712D2"/>
    <w:rsid w:val="00F81E00"/>
    <w:rsid w:val="00F8542E"/>
    <w:rsid w:val="00FA4049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1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133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133E"/>
    <w:rPr>
      <w:sz w:val="20"/>
      <w:szCs w:val="20"/>
    </w:rPr>
  </w:style>
  <w:style w:type="character" w:customStyle="1" w:styleId="a8">
    <w:name w:val="Абзац списка Знак"/>
    <w:aliases w:val="it_List1 Знак,Абзац списка литеральный Знак,асз.Списка Знак"/>
    <w:link w:val="a7"/>
    <w:uiPriority w:val="34"/>
    <w:locked/>
    <w:rsid w:val="00C176D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D41B6"/>
    <w:rPr>
      <w:color w:val="0000FF" w:themeColor="hyperlink"/>
      <w:u w:val="single"/>
    </w:rPr>
  </w:style>
  <w:style w:type="paragraph" w:customStyle="1" w:styleId="ConsPlusNormal">
    <w:name w:val="ConsPlusNormal"/>
    <w:rsid w:val="00584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f">
    <w:name w:val="Стиль"/>
    <w:uiPriority w:val="99"/>
    <w:rsid w:val="00584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185&amp;dst=100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E10D-4440-418D-B22A-56943C8C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2022-11-11T11:42:00Z</cp:lastPrinted>
  <dcterms:created xsi:type="dcterms:W3CDTF">2024-06-18T08:59:00Z</dcterms:created>
  <dcterms:modified xsi:type="dcterms:W3CDTF">2024-06-18T08:59:00Z</dcterms:modified>
</cp:coreProperties>
</file>