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B102C" w:rsidRPr="005071A7" w:rsidRDefault="00EB102C" w:rsidP="00EB102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B102C" w:rsidRPr="005071A7" w:rsidRDefault="00EB102C" w:rsidP="00EB102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EB102C" w:rsidRPr="00BB7476" w:rsidRDefault="00EB102C" w:rsidP="00EB102C">
      <w:pPr>
        <w:shd w:val="clear" w:color="auto" w:fill="FFFFFF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от 25.12.2017 №162</w:t>
      </w:r>
      <w:r w:rsidRPr="00FE14BE">
        <w:rPr>
          <w:sz w:val="26"/>
          <w:szCs w:val="26"/>
        </w:rPr>
        <w:t>-ГД</w:t>
      </w:r>
      <w:r w:rsidRPr="00BB7476">
        <w:rPr>
          <w:bCs/>
          <w:sz w:val="26"/>
          <w:szCs w:val="26"/>
        </w:rPr>
        <w:t xml:space="preserve">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EB102C" w:rsidRPr="00B006E5" w:rsidRDefault="00EB102C" w:rsidP="00EB102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20.03.2025 №33-ФЗ                          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постановлением Правительства Российской Федерации от 14.06.2013 №502 «Об утверждении требований к программе комплексного развития систем коммунальной инфраструктуры поселений, городских округов», решением Думы города Когалыма от 25.07.2008 №275-ГД «Об утверждении генерального плана города Когалыма», 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города Когалыма, Дума города Когалыма РЕШИЛА: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EB102C" w:rsidRDefault="00EB102C" w:rsidP="00EB102C">
      <w:pPr>
        <w:ind w:firstLine="708"/>
        <w:jc w:val="both"/>
        <w:rPr>
          <w:sz w:val="26"/>
          <w:szCs w:val="26"/>
        </w:rPr>
      </w:pPr>
    </w:p>
    <w:p w:rsidR="00EB102C" w:rsidRDefault="00EB102C" w:rsidP="00EB102C">
      <w:pPr>
        <w:pStyle w:val="ConsPlusNormal"/>
        <w:widowControl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Pr="005071A7"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  <w:r>
        <w:rPr>
          <w:rFonts w:ascii="Times New Roman" w:hAnsi="Times New Roman" w:cs="Times New Roman"/>
          <w:sz w:val="26"/>
          <w:szCs w:val="26"/>
        </w:rPr>
        <w:t>от 25.12.2017 №162</w:t>
      </w:r>
      <w:r w:rsidRPr="00FE14BE">
        <w:rPr>
          <w:rFonts w:ascii="Times New Roman" w:hAnsi="Times New Roman" w:cs="Times New Roman"/>
          <w:sz w:val="26"/>
          <w:szCs w:val="26"/>
        </w:rPr>
        <w:t>-ГД</w:t>
      </w:r>
      <w:r w:rsidRPr="00CF44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Об утверждении программы комплексного развития систем коммунальной инфраструктуры города Когалыма на 2020-2035 годы</w:t>
      </w:r>
      <w:r w:rsidRPr="00CF448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Pr="005071A7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071A7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071A7">
        <w:rPr>
          <w:rFonts w:ascii="Times New Roman" w:hAnsi="Times New Roman" w:cs="Times New Roman"/>
          <w:sz w:val="26"/>
          <w:szCs w:val="26"/>
        </w:rPr>
        <w:t>:</w:t>
      </w:r>
    </w:p>
    <w:p w:rsidR="00EB102C" w:rsidRPr="007F3842" w:rsidRDefault="00EB102C" w:rsidP="00EB10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решения: слова «Федеральным законом от 06.10.2003 №131-ФЗ «</w:t>
      </w:r>
      <w:r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 заменить словами «</w:t>
      </w:r>
      <w:r>
        <w:rPr>
          <w:sz w:val="26"/>
          <w:szCs w:val="26"/>
        </w:rPr>
        <w:t>Федеральным законом от 20.03.</w:t>
      </w:r>
      <w:r w:rsidRPr="00F505E4">
        <w:rPr>
          <w:rFonts w:eastAsiaTheme="minorHAnsi"/>
          <w:sz w:val="26"/>
          <w:szCs w:val="26"/>
          <w:lang w:eastAsia="en-US"/>
        </w:rPr>
        <w:t>2025 №33-ФЗ</w:t>
      </w:r>
      <w:r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разделе 1 в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решению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EB102C" w:rsidRPr="00712A10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1.2.1.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подпункт 1.1.4 пункта 1.1 изложить в следующей редакции:</w:t>
      </w:r>
    </w:p>
    <w:p w:rsidR="00EB102C" w:rsidRPr="00712A10" w:rsidRDefault="00EB102C" w:rsidP="00EB102C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«Электроснабжение городского округа Когалым осуществляется от Тюменской энергосистемы и входит в Когалымский энергорайон, который территориально соответствует зоне деятельности одноименного филиала электрических сетей АО «Россети Тюмень», а также находится в зоне ответственности Филиала ПАО «ФСК ЕЭС»-Центральное ПМЭС и Филиала «ФСК ЕЭС»-Восточное ПМЭС (Рисунок 14)»;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1.2.2. в подпункте 1.1.4 пункта 1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.1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исключить слова «в соответствии со схемой и программой развития электроэнергетики Ханты – Мансийского автономного округа – Югры на период до 2027 года, утвержденной распоряжением Правительства Ханты – Мансийского автономного округа – Югры от 29.04.2022 №203-рп»;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1.2.3. в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подпункте 2.3.4 пункта 2.3 раздела 2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исключить слова «в соответствии со схемой и программой развития электроэнергетики Ханты –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Мансийского автономного округа – Югры на период до 2027 года, утвержденной распоряжением Правительства Ханты – Мансийского автономного округа – Югры от 29.04.2022 №203-рп»;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1.2.4. в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подпункте 3.2.4 пункта 3.2 раздела 3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исключить слова «в соответствии со схемой и программой развития электроэнергетики Ханты – Мансийского автономного округа – Югры на период до 2027 года, утвержденной распоряжением Правительства Ханты – Мансийского автономного округа – Югры от 29.04.2022 №203-рп»;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1.2.5. в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разделе 5 пункт 5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712A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исключить слова «в соответствии со схемой и программой развития электроэнергетики Ханты – Мансийского автономного округа – Югры на период до 2027 года, утвержденной распоряжением Правительства Ханты – Мансийского автономного округа – Югры от 29.04.2022 №203-рп»;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1.2.6.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подпункте 1.1.5 пункта 1.1 слова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Согласно приложению №1 к приказу Региональной службы по тарифам Ханты-Мансийского автономного округа- Югры от 29.11.2022 №104-нп «Об установлении розничных цен на газ, регулируемый населению на территории Ханты- Мансийского автономного округа – Югры»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словами «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Согласно приложению №1 к приказу Региональной службы по тарифам Ханты-Мансийского автономного округа- Югры от 19.12.2023 №134-нп «Об установлении розничных цен на газ, регулируемый населению на территории Ханты- Мансийского автономного округа – Югры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1.2.7.  в подпункте 1.1.5 пункта 1.1 Таблицу 42 Розничные цены на природный газ, реализуемый населению для удовлетворения личных, семейных, домашних и иных нужд (кроме газа для заправки автотранспортных средств), не связанных с осуществлением предпринимательской (профессиональной) деятельности, не территории Ханты-Мансийского автономного округа – Югры изложить в следующей редакции: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tbl>
      <w:tblPr>
        <w:tblW w:w="8776" w:type="dxa"/>
        <w:tblInd w:w="5" w:type="dxa"/>
        <w:tblCellMar>
          <w:top w:w="53" w:type="dxa"/>
          <w:left w:w="148" w:type="dxa"/>
          <w:right w:w="98" w:type="dxa"/>
        </w:tblCellMar>
        <w:tblLook w:val="04A0" w:firstRow="1" w:lastRow="0" w:firstColumn="1" w:lastColumn="0" w:noHBand="0" w:noVBand="1"/>
      </w:tblPr>
      <w:tblGrid>
        <w:gridCol w:w="4260"/>
        <w:gridCol w:w="4516"/>
      </w:tblGrid>
      <w:tr w:rsidR="00EB102C" w:rsidRPr="0076339D" w:rsidTr="00951AF7">
        <w:trPr>
          <w:trHeight w:val="911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2C" w:rsidRPr="00480A38" w:rsidRDefault="00EB102C" w:rsidP="00951AF7">
            <w:pPr>
              <w:spacing w:line="259" w:lineRule="auto"/>
              <w:jc w:val="center"/>
            </w:pPr>
            <w:r w:rsidRPr="00480A38">
              <w:t>Наименование организации, осуществляющей поставку газа населению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2C" w:rsidRPr="00480A38" w:rsidRDefault="00EB102C" w:rsidP="00951AF7">
            <w:pPr>
              <w:spacing w:line="259" w:lineRule="auto"/>
              <w:ind w:right="50"/>
              <w:jc w:val="center"/>
            </w:pPr>
            <w:r w:rsidRPr="00480A38">
              <w:t>Розничные цены на природный газ, руб./1000м</w:t>
            </w:r>
            <w:r w:rsidRPr="00480A38">
              <w:rPr>
                <w:vertAlign w:val="superscript"/>
              </w:rPr>
              <w:t xml:space="preserve">3 </w:t>
            </w:r>
          </w:p>
          <w:p w:rsidR="00EB102C" w:rsidRPr="00480A38" w:rsidRDefault="00EB102C" w:rsidP="00951AF7">
            <w:pPr>
              <w:spacing w:line="259" w:lineRule="auto"/>
              <w:ind w:left="679" w:right="324" w:hanging="406"/>
            </w:pPr>
            <w:r w:rsidRPr="00480A38">
              <w:t>(включая НДС) по направлениям (набором направлений) использования газа  с 1 декабря 2022 года</w:t>
            </w:r>
          </w:p>
        </w:tc>
      </w:tr>
      <w:tr w:rsidR="00EB102C" w:rsidTr="00951AF7">
        <w:trPr>
          <w:trHeight w:val="235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2C" w:rsidRPr="00480A38" w:rsidRDefault="00EB102C" w:rsidP="00951AF7">
            <w:pPr>
              <w:spacing w:line="259" w:lineRule="auto"/>
              <w:ind w:right="50"/>
              <w:jc w:val="center"/>
            </w:pPr>
            <w:r w:rsidRPr="00480A38">
              <w:t>АО «Когалымгоргаз»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02C" w:rsidRPr="00480A38" w:rsidRDefault="00EB102C" w:rsidP="00951AF7">
            <w:pPr>
              <w:spacing w:line="259" w:lineRule="auto"/>
              <w:ind w:right="50"/>
              <w:jc w:val="center"/>
            </w:pPr>
            <w:r>
              <w:t>5 735,39</w:t>
            </w:r>
          </w:p>
        </w:tc>
      </w:tr>
    </w:tbl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 в подпункте 1.1.5 пункта 1.1   слова «сбор, вывоз и утилизация ТКО на территории города Когалыма осуществляется в соответствии с утвержденной распоряжением Правительства Ханты - Мансийского автономного округа – Югры от 21 октября 2016 г. №559-рп Территориальной схемой обращения с отходами, в том числе с твердыми коммунальными отходами, Ханты-Мансийском автономном округе- Югре» заменить словами «сбор, вывоз и утилизация ТКО на территории города Когалыма осуществляется в соответствии с утвержденной распоряжением Правительства Ханты - Мансийского автономного округа – Югры от 30 октября 2025 г. №486-рп Территориальной схемой обращения с отходами производства и потребления в Ханты-Мансийском автономном округе - Югре»;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1.2.5. в подпункте 2.3.6 подпункта 2.3 раздела 2 слова «сбор, вывоз и утилизация ТКО на территории города Когалыма осуществляется в соответствии с утвержденной распоряжением Правительства Ханты - Мансийского автономного округа – Югры от 21 октября 2016 г. №559-рп Территориальной схемой обращения с отходами, в том числе с твердыми коммунальными отходами, Ханты-Мансийском автономном округе- Югре» заменить словами «сбор, вывоз и утилизация ТКО на территории города Когалыма осуществляется в соответствии с утвержденной распоряжением Правительства Ханты - Мансийского автономного округа – Югры от 30 октября 2025 г. №486-рп Территориальной схемой обращения с отходами производства и потребления в Ханты-Мансийском автономном округе - Югре»;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1.2.6. в пункта 3.1, подпункте 3.2.6 раздела 3 слова «сбор, вывоз и утилизация ТКО на территории города Когалыма осуществляется в соответствии с утвержденной распоряжением Правительства Ханты - Мансийского автономного округа – Югры от 21 октября 2016 г. №559-рп Территориальной схемой обращения с отходами, в том числе с твердыми коммунальными отходами, Ханты-Мансийском автономном округе- Югре» заменить словами «сбор, вывоз и утилизация ТКО на территории города Когалыма осуществляется в соответствии с утвержденной распоряжением Правительства Ханты - Мансийского автономного округа – Югры от 30 октября 2025 г. №486-рп Территориальной схемой обращения с отходами производства и потребления в Ханты-Мансийском автономном округе - Югре»;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1.3. В разделе 2 в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решению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1.3.1 </w:t>
      </w:r>
      <w:r w:rsidRPr="00EF5E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пункте 2.1 слова «в рамках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№2919» заменить словами «в рамках муниципальной программы «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Развитие малого и среднего предпринимательства и инвестиционной деятельности в городе Когалыме</w:t>
      </w:r>
      <w:r w:rsidRPr="00EF5E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», утвержденной постановлением Администрации города Когалыма от 27.12.2024 №2619»;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1.3.2. в пункте 2.1 слова «Указа Президента Российской Федерации от 21.07.2020 №474 «О национальных целях развития Российской Федерации на период до 2030 года» заменить словами «Указа Президента Российской Федерации от 07.05.2024 №309 «О национальных целях развития Российской Федерации на период до 2030 и на перспективу до 2036 года»;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1.3.2. в пункте 2.1 слова «муниципальная программа «Формирование комфортной городской среды в городе Когалыме», утвержденной постановлением Администрации города Когалыма от 14.11.2017 №2354» заменить словами «муниципальная программа «Формирование комфортной городской среды в городе Когалыме», утвержденной постановлением Администрации города Когалыма от 20.12.2024 №2522»;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1.3.2. в пункте 2.2 слова «Мероприятия по сносу аварийного жилья, строительству новых многоквартирных домов осуществляется в рамках реализации муниципальной программы «Развитие жилищной сферы в городе Когалыме», утвержденной постановлением Администрации города Когалыма от 15.10.2013 №2931 «Об утверждении муниципальной программы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«Обеспечение доступным и комфортным жильем жителей города Когалыма» заменить  словами «мероприятия по сносу аварийного жилья, строительству новых многоквартирных домов осуществляется в рамках реализации муниципальной программы «Развитие жилищной сферы в городе Когалыме», утвержденной постановлением Администрации города Когалыма от 24.12.2024 №2580 «Об утверждении муниципальной программы «Развитие жилищной сферы в городе Когалыме»;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22D9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1.3.3. в пункте 2.2 слова «Постановлением Правительства Ханты – Мансийского автономного округа – Югры от 31.10.2021 №476-п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«О государственной программе Ханты – Мансийского автономного округа – Югры «Развитие жилищной сферы» городу Когалыму в 2022 году установлено к достижению значение показателя «Объем жилищного строительства» в размере 11,3 тыс. кв.м» заменить  словами «</w:t>
      </w:r>
      <w:r w:rsidRPr="00522D9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Постановлением Правительства Ханты – Мансийского автономного округа – Югры от 10.11.2023 №561-п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«О государственной программе Ханты – Мансийского автономного округа – Югры «Строительство» городу Когалыму в 2026 году установлено к достижению значение показателя «Объем жилищного строительства» в размере 33 тыс. кв.м».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1.4. В разделе 3 в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решению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1.4.1. в подпункте 3.2.6. пункта 3.2. слова «муниципальной программы «Содержание объектов городского хозяйства и инженерной инфраструктуры в городе Когалыме» (постановление Администрации города Когалыма от 11.10.2013 №2907) заменить на слова «муниципальной программы «Содержание объектов городского хозяйства и инженерной инфраструктуры в городе Когалыме» (постановление Администрации города Когалыма от 20.12.2024 №2529);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1.4.2. в подпункте 3.2.6. пункта 3.2. слова «муниципальной программы «Экологическая безопасность города Когалыма» (постановление Администрации города Когалыма от 11.10.2013 №2909)» заменить словами «муниципальной программы «Экологическая безопасность города Когалыма» (постановление Администрации города Когалыма от 28.12.2024 №2628);</w:t>
      </w:r>
    </w:p>
    <w:p w:rsid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1.5. В разделе 5 в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решению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612CA3" w:rsidRPr="00EB102C" w:rsidRDefault="00EB102C" w:rsidP="00EB102C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1.5.1. в пункте 4 слова «утвержденная распоряжением Правительства Ханты-Мансийского автономного округа – Югры от 14.10.2022 №627-рп «О Территориальной схеме обращения с отходами в Ханты – Мансийском автономном округе – Югре и признании утратившими силу некоторых распоряжений правительства Ханты - Мансийского автономного округа - Югры» заменить словами «утвержденная распоряжением Правительства Ханты - Мансийского автономного округа – Югры от 30.10. 2025 г. №486-рп Территориальной схемой обращения с отходами производства и потребления в Ханты-Мансийском автономном округе - Югре».</w:t>
      </w:r>
    </w:p>
    <w:p w:rsidR="00612CA3" w:rsidRPr="002E0F65" w:rsidRDefault="00612CA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  <w:t>2</w:t>
      </w:r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102C" w:rsidRDefault="00EB102C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102C" w:rsidRDefault="00EB102C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102C" w:rsidRPr="00F93E17" w:rsidRDefault="00EB102C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lastRenderedPageBreak/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1ECD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102C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6FB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B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425A3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4734-922B-46D6-8999-B71C0FA9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Мишков Сергей Владимрович</cp:lastModifiedBy>
  <cp:revision>116</cp:revision>
  <cp:lastPrinted>2022-11-11T11:42:00Z</cp:lastPrinted>
  <dcterms:created xsi:type="dcterms:W3CDTF">2018-07-18T04:10:00Z</dcterms:created>
  <dcterms:modified xsi:type="dcterms:W3CDTF">2026-05-06T05:00:00Z</dcterms:modified>
</cp:coreProperties>
</file>