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>от 28.02.2013 №224-ГД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6F2CC0" w:rsidRPr="009D0172" w:rsidRDefault="006F2CC0" w:rsidP="00903962">
      <w:pPr>
        <w:jc w:val="both"/>
        <w:rPr>
          <w:sz w:val="26"/>
          <w:szCs w:val="26"/>
        </w:rPr>
      </w:pPr>
    </w:p>
    <w:p w:rsidR="00064504" w:rsidRPr="00745410" w:rsidRDefault="00064504" w:rsidP="00903962">
      <w:pPr>
        <w:ind w:firstLine="709"/>
        <w:jc w:val="both"/>
        <w:rPr>
          <w:sz w:val="26"/>
          <w:szCs w:val="26"/>
        </w:rPr>
      </w:pPr>
      <w:r w:rsidRPr="00745410">
        <w:rPr>
          <w:sz w:val="26"/>
          <w:szCs w:val="26"/>
        </w:rPr>
        <w:t xml:space="preserve">В соответствии с Федеральным законом от 21.12.2001 №178-ФЗ         </w:t>
      </w:r>
      <w:r>
        <w:rPr>
          <w:sz w:val="26"/>
          <w:szCs w:val="26"/>
        </w:rPr>
        <w:t xml:space="preserve">                       </w:t>
      </w:r>
      <w:r w:rsidRPr="00745410">
        <w:rPr>
          <w:sz w:val="26"/>
          <w:szCs w:val="26"/>
        </w:rPr>
        <w:t xml:space="preserve">  </w:t>
      </w:r>
      <w:proofErr w:type="gramStart"/>
      <w:r w:rsidRPr="00745410">
        <w:rPr>
          <w:sz w:val="26"/>
          <w:szCs w:val="26"/>
        </w:rPr>
        <w:t xml:space="preserve">   «</w:t>
      </w:r>
      <w:proofErr w:type="gramEnd"/>
      <w:r w:rsidRPr="00745410">
        <w:rPr>
          <w:sz w:val="26"/>
          <w:szCs w:val="26"/>
        </w:rPr>
        <w:t>О приватизации государственного и муниципального имущества», Уставом города Когалыма Дума города Когалыма РЕШИЛА:</w:t>
      </w:r>
    </w:p>
    <w:p w:rsidR="00064504" w:rsidRPr="009D0172" w:rsidRDefault="00064504" w:rsidP="00903962">
      <w:pPr>
        <w:ind w:firstLine="709"/>
        <w:contextualSpacing/>
        <w:jc w:val="both"/>
        <w:rPr>
          <w:sz w:val="26"/>
          <w:szCs w:val="26"/>
        </w:rPr>
      </w:pP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 w:rsidRPr="009D0172">
        <w:rPr>
          <w:sz w:val="26"/>
          <w:szCs w:val="26"/>
        </w:rPr>
        <w:t xml:space="preserve">1. </w:t>
      </w:r>
      <w:r w:rsidRPr="00745410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приложение к</w:t>
      </w:r>
      <w:r w:rsidRPr="00745410">
        <w:rPr>
          <w:sz w:val="26"/>
          <w:szCs w:val="26"/>
        </w:rPr>
        <w:t xml:space="preserve"> решени</w:t>
      </w:r>
      <w:r>
        <w:rPr>
          <w:sz w:val="26"/>
          <w:szCs w:val="26"/>
        </w:rPr>
        <w:t>ю</w:t>
      </w:r>
      <w:r w:rsidRPr="00745410">
        <w:rPr>
          <w:sz w:val="26"/>
          <w:szCs w:val="26"/>
        </w:rPr>
        <w:t xml:space="preserve"> Думы города Когалыма от 28.02.2013 №224-ГД «Об утверждении Положения о приватизации муниципального имущества города Когалыма» (далее – </w:t>
      </w:r>
      <w:r>
        <w:rPr>
          <w:sz w:val="26"/>
          <w:szCs w:val="26"/>
        </w:rPr>
        <w:t>приложение</w:t>
      </w:r>
      <w:r w:rsidRPr="00745410">
        <w:rPr>
          <w:sz w:val="26"/>
          <w:szCs w:val="26"/>
        </w:rPr>
        <w:t>) следующ</w:t>
      </w:r>
      <w:r>
        <w:rPr>
          <w:sz w:val="26"/>
          <w:szCs w:val="26"/>
        </w:rPr>
        <w:t>и</w:t>
      </w:r>
      <w:r w:rsidRPr="00745410">
        <w:rPr>
          <w:sz w:val="26"/>
          <w:szCs w:val="26"/>
        </w:rPr>
        <w:t xml:space="preserve">е </w:t>
      </w:r>
      <w:r>
        <w:rPr>
          <w:sz w:val="26"/>
          <w:szCs w:val="26"/>
        </w:rPr>
        <w:t>изменения</w:t>
      </w:r>
      <w:r w:rsidRPr="00745410">
        <w:rPr>
          <w:sz w:val="26"/>
          <w:szCs w:val="26"/>
        </w:rPr>
        <w:t>:</w:t>
      </w:r>
    </w:p>
    <w:p w:rsidR="00064504" w:rsidRPr="00D90398" w:rsidRDefault="00064504" w:rsidP="00903962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r w:rsidRPr="00FD5630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пятом</w:t>
      </w:r>
      <w:r w:rsidRPr="00FD5630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3.3.1</w:t>
      </w:r>
      <w:r w:rsidRPr="00FD5630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3</w:t>
      </w:r>
      <w:r w:rsidRPr="00FD5630">
        <w:rPr>
          <w:sz w:val="26"/>
          <w:szCs w:val="26"/>
        </w:rPr>
        <w:t xml:space="preserve"> </w:t>
      </w:r>
      <w:r>
        <w:rPr>
          <w:sz w:val="26"/>
          <w:szCs w:val="26"/>
        </w:rPr>
        <w:t>приложения</w:t>
      </w:r>
      <w:r w:rsidRPr="00F22EDE">
        <w:rPr>
          <w:sz w:val="26"/>
          <w:szCs w:val="26"/>
        </w:rPr>
        <w:t xml:space="preserve">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FD5630">
        <w:rPr>
          <w:sz w:val="26"/>
          <w:szCs w:val="26"/>
        </w:rPr>
        <w:t>Интернет</w:t>
      </w:r>
      <w:r w:rsidRPr="00D90398">
        <w:rPr>
          <w:sz w:val="26"/>
          <w:szCs w:val="26"/>
        </w:rPr>
        <w:t>», слова «Российской Федерации в сети Интернет» заменить словами «Российской Федерации в сети «Интернет»»;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разделе 4 </w:t>
      </w:r>
      <w:r w:rsidRPr="00F22EDE">
        <w:rPr>
          <w:sz w:val="26"/>
          <w:szCs w:val="26"/>
        </w:rPr>
        <w:t>приложения</w:t>
      </w:r>
      <w:r>
        <w:rPr>
          <w:sz w:val="26"/>
          <w:szCs w:val="26"/>
        </w:rPr>
        <w:t>: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в пункте 4.4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FD5630">
        <w:rPr>
          <w:sz w:val="26"/>
          <w:szCs w:val="26"/>
        </w:rPr>
        <w:t>Интернет</w:t>
      </w:r>
      <w:r>
        <w:rPr>
          <w:sz w:val="26"/>
          <w:szCs w:val="26"/>
        </w:rPr>
        <w:t xml:space="preserve">», </w:t>
      </w:r>
      <w:r w:rsidRPr="00D90398">
        <w:rPr>
          <w:sz w:val="26"/>
          <w:szCs w:val="26"/>
        </w:rPr>
        <w:t>слова «Российской Федерации в сети Интернет» заменить словами «Российской Федерации в сети «Интернет»»</w:t>
      </w:r>
      <w:r w:rsidRPr="00FD5630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1.2.2. в пункте 4.7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FD5630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D90398">
        <w:rPr>
          <w:sz w:val="26"/>
          <w:szCs w:val="26"/>
        </w:rPr>
        <w:t xml:space="preserve"> слова «Российской Федерации в сети Интернет» заменить словами «Российской Федерации в сети «Интернет»»</w:t>
      </w:r>
      <w:r>
        <w:rPr>
          <w:sz w:val="26"/>
          <w:szCs w:val="26"/>
        </w:rPr>
        <w:t>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</w:t>
      </w:r>
      <w:r w:rsidRPr="00FD5630">
        <w:rPr>
          <w:sz w:val="26"/>
          <w:szCs w:val="26"/>
        </w:rPr>
        <w:t>раздел</w:t>
      </w:r>
      <w:r>
        <w:rPr>
          <w:sz w:val="26"/>
          <w:szCs w:val="26"/>
        </w:rPr>
        <w:t>е</w:t>
      </w:r>
      <w:r w:rsidRPr="00FD563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 </w:t>
      </w:r>
      <w:r w:rsidRPr="00F22EDE">
        <w:rPr>
          <w:sz w:val="26"/>
          <w:szCs w:val="26"/>
        </w:rPr>
        <w:t>приложения</w:t>
      </w:r>
      <w:r>
        <w:rPr>
          <w:sz w:val="26"/>
          <w:szCs w:val="26"/>
        </w:rPr>
        <w:t>: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</w:t>
      </w:r>
      <w:r w:rsidRPr="00FD5630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пятом</w:t>
      </w:r>
      <w:r w:rsidRPr="00FD5630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5.2</w:t>
      </w:r>
      <w:r w:rsidRPr="00FD5630">
        <w:rPr>
          <w:sz w:val="26"/>
          <w:szCs w:val="26"/>
        </w:rPr>
        <w:t xml:space="preserve"> слова</w:t>
      </w:r>
      <w:r>
        <w:rPr>
          <w:sz w:val="26"/>
          <w:szCs w:val="26"/>
        </w:rPr>
        <w:t xml:space="preserve"> </w:t>
      </w:r>
      <w:r w:rsidRPr="00B46E94">
        <w:rPr>
          <w:sz w:val="26"/>
          <w:szCs w:val="26"/>
        </w:rPr>
        <w:t>«статьей 24» заменить словами «стать</w:t>
      </w:r>
      <w:r>
        <w:rPr>
          <w:sz w:val="26"/>
          <w:szCs w:val="26"/>
        </w:rPr>
        <w:t>е</w:t>
      </w:r>
      <w:r w:rsidRPr="00B46E94">
        <w:rPr>
          <w:sz w:val="26"/>
          <w:szCs w:val="26"/>
        </w:rPr>
        <w:t>й 14»;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1.3.2. в пункте 5.5: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1.3.2.1. в абзаце первом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FD5630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D90398">
        <w:rPr>
          <w:sz w:val="26"/>
          <w:szCs w:val="26"/>
        </w:rPr>
        <w:t xml:space="preserve"> слова «Российской Федерации в сети Интернет» заменить словами «Российской Федерации в сети «Интернет»»</w:t>
      </w:r>
      <w:r>
        <w:rPr>
          <w:sz w:val="26"/>
          <w:szCs w:val="26"/>
        </w:rPr>
        <w:t xml:space="preserve">, </w:t>
      </w:r>
      <w:r w:rsidRPr="00B46E94">
        <w:rPr>
          <w:sz w:val="26"/>
          <w:szCs w:val="26"/>
        </w:rPr>
        <w:lastRenderedPageBreak/>
        <w:t>после слов «</w:t>
      </w:r>
      <w:r w:rsidRPr="00067CED">
        <w:rPr>
          <w:sz w:val="26"/>
          <w:szCs w:val="26"/>
        </w:rPr>
        <w:t>в течение десяти дней со дня принятия решения об условиях приватизации муниципаль</w:t>
      </w:r>
      <w:r>
        <w:rPr>
          <w:sz w:val="26"/>
          <w:szCs w:val="26"/>
        </w:rPr>
        <w:t>ного имущества города Когалыма</w:t>
      </w:r>
      <w:r w:rsidRPr="00B46E94">
        <w:rPr>
          <w:sz w:val="26"/>
          <w:szCs w:val="26"/>
        </w:rPr>
        <w:t>» дополнить словами «</w:t>
      </w:r>
      <w:r>
        <w:rPr>
          <w:sz w:val="26"/>
          <w:szCs w:val="26"/>
        </w:rPr>
        <w:t xml:space="preserve">, </w:t>
      </w:r>
      <w:r w:rsidRPr="00B46E94">
        <w:rPr>
          <w:sz w:val="26"/>
          <w:szCs w:val="26"/>
        </w:rPr>
        <w:t xml:space="preserve">за исключением </w:t>
      </w:r>
      <w:r>
        <w:rPr>
          <w:sz w:val="26"/>
          <w:szCs w:val="26"/>
        </w:rPr>
        <w:t xml:space="preserve">постановления </w:t>
      </w:r>
      <w:r w:rsidRPr="00B46E94">
        <w:rPr>
          <w:sz w:val="26"/>
          <w:szCs w:val="26"/>
        </w:rPr>
        <w:t>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21.12.2001 №178-ФЗ «О приватизации государственного и муниципального имущества»»</w:t>
      </w:r>
      <w:r>
        <w:rPr>
          <w:sz w:val="26"/>
          <w:szCs w:val="26"/>
        </w:rPr>
        <w:t>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1.3.2.2. в абзаце втором </w:t>
      </w:r>
      <w:r w:rsidRPr="00FD5630">
        <w:rPr>
          <w:sz w:val="26"/>
          <w:szCs w:val="26"/>
        </w:rPr>
        <w:t xml:space="preserve">слова «на официальном сайте Администрации города Когалыма в сети Интернет» заменить словами «на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FD5630">
        <w:rPr>
          <w:sz w:val="26"/>
          <w:szCs w:val="26"/>
        </w:rPr>
        <w:t>Интернет</w:t>
      </w:r>
      <w:r>
        <w:rPr>
          <w:sz w:val="26"/>
          <w:szCs w:val="26"/>
        </w:rPr>
        <w:t>»,</w:t>
      </w:r>
      <w:r w:rsidRPr="00D90398">
        <w:rPr>
          <w:sz w:val="26"/>
          <w:szCs w:val="26"/>
        </w:rPr>
        <w:t xml:space="preserve"> слова «Российской Федерации в сети Интернет» заменить словами «Российской Федерации в сети «Интернет»»</w:t>
      </w:r>
      <w:r>
        <w:rPr>
          <w:sz w:val="26"/>
          <w:szCs w:val="26"/>
        </w:rPr>
        <w:t>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в разделе 9 </w:t>
      </w:r>
      <w:r w:rsidRPr="00F22EDE">
        <w:rPr>
          <w:sz w:val="26"/>
          <w:szCs w:val="26"/>
        </w:rPr>
        <w:t>приложения</w:t>
      </w:r>
      <w:r>
        <w:rPr>
          <w:sz w:val="26"/>
          <w:szCs w:val="26"/>
        </w:rPr>
        <w:t>: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1.4.1. в пункте 9.3 </w:t>
      </w:r>
      <w:r w:rsidRPr="00B46E94">
        <w:rPr>
          <w:sz w:val="26"/>
          <w:szCs w:val="26"/>
        </w:rPr>
        <w:t>слова «статьей 24</w:t>
      </w:r>
      <w:r>
        <w:rPr>
          <w:sz w:val="26"/>
          <w:szCs w:val="26"/>
        </w:rPr>
        <w:t>» заменить словами «статьей 35»;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1.4.2. в пункте 9.4 слово «публикации» заменить словами «размещения на официальном сайте в сети «Интернет»».</w:t>
      </w:r>
    </w:p>
    <w:p w:rsidR="00064504" w:rsidRDefault="00064504" w:rsidP="00903962">
      <w:pPr>
        <w:ind w:firstLine="709"/>
        <w:contextualSpacing/>
        <w:jc w:val="both"/>
        <w:rPr>
          <w:sz w:val="26"/>
          <w:szCs w:val="26"/>
        </w:rPr>
      </w:pPr>
    </w:p>
    <w:p w:rsidR="00064504" w:rsidRPr="00B46E94" w:rsidRDefault="00064504" w:rsidP="00903962">
      <w:pPr>
        <w:ind w:firstLine="709"/>
        <w:contextualSpacing/>
        <w:jc w:val="both"/>
        <w:rPr>
          <w:sz w:val="26"/>
          <w:szCs w:val="26"/>
        </w:rPr>
      </w:pPr>
      <w:r w:rsidRPr="00B46E94">
        <w:rPr>
          <w:sz w:val="26"/>
          <w:szCs w:val="26"/>
        </w:rPr>
        <w:t>2. Опубликовать настоящее решение в сетевом издании «Когалымский вестник»: KOGVESTI.RU.</w:t>
      </w:r>
    </w:p>
    <w:p w:rsidR="00FC703E" w:rsidRDefault="00FC703E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Default="00BA5F1A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6F2CC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201DB"/>
    <w:rsid w:val="00064504"/>
    <w:rsid w:val="00065BCF"/>
    <w:rsid w:val="00067CED"/>
    <w:rsid w:val="00082085"/>
    <w:rsid w:val="000A27E7"/>
    <w:rsid w:val="000B2FB4"/>
    <w:rsid w:val="000C11EF"/>
    <w:rsid w:val="000F0569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52EC3"/>
    <w:rsid w:val="00967001"/>
    <w:rsid w:val="009807B0"/>
    <w:rsid w:val="0098458C"/>
    <w:rsid w:val="009B39B7"/>
    <w:rsid w:val="009C47D2"/>
    <w:rsid w:val="00A564E7"/>
    <w:rsid w:val="00A67153"/>
    <w:rsid w:val="00AB47CB"/>
    <w:rsid w:val="00AB58A2"/>
    <w:rsid w:val="00AE3A79"/>
    <w:rsid w:val="00AE6CEC"/>
    <w:rsid w:val="00B141E0"/>
    <w:rsid w:val="00B22DDA"/>
    <w:rsid w:val="00B25576"/>
    <w:rsid w:val="00B44BE6"/>
    <w:rsid w:val="00B46E94"/>
    <w:rsid w:val="00B70BF0"/>
    <w:rsid w:val="00B71C99"/>
    <w:rsid w:val="00BA5F1A"/>
    <w:rsid w:val="00BB1866"/>
    <w:rsid w:val="00BC37E6"/>
    <w:rsid w:val="00C27247"/>
    <w:rsid w:val="00C700C4"/>
    <w:rsid w:val="00C700F3"/>
    <w:rsid w:val="00C912D0"/>
    <w:rsid w:val="00CB2627"/>
    <w:rsid w:val="00CC367F"/>
    <w:rsid w:val="00CD6BD0"/>
    <w:rsid w:val="00CF327A"/>
    <w:rsid w:val="00CF6B89"/>
    <w:rsid w:val="00D52DB6"/>
    <w:rsid w:val="00D5489C"/>
    <w:rsid w:val="00D606BC"/>
    <w:rsid w:val="00D90398"/>
    <w:rsid w:val="00D9105C"/>
    <w:rsid w:val="00DC4E03"/>
    <w:rsid w:val="00E04B32"/>
    <w:rsid w:val="00E275C8"/>
    <w:rsid w:val="00E54B0F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555B37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555B37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55B37"/>
    <w:rsid w:val="005B1F81"/>
    <w:rsid w:val="00B2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8EA9-59C7-48F6-ADAA-CD784BCD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2025-04-24T09:21:00Z</cp:lastPrinted>
  <dcterms:created xsi:type="dcterms:W3CDTF">2025-05-12T06:49:00Z</dcterms:created>
  <dcterms:modified xsi:type="dcterms:W3CDTF">2025-05-12T06:49:00Z</dcterms:modified>
</cp:coreProperties>
</file>