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92BBC">
        <w:rPr>
          <w:b/>
          <w:color w:val="000000"/>
          <w:sz w:val="26"/>
          <w:szCs w:val="26"/>
        </w:rPr>
        <w:t>14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92BBC">
        <w:rPr>
          <w:b/>
          <w:color w:val="000000"/>
          <w:sz w:val="26"/>
          <w:szCs w:val="26"/>
        </w:rPr>
        <w:t>65</w:t>
      </w:r>
    </w:p>
    <w:p w:rsidR="00B72857" w:rsidRPr="00073833" w:rsidRDefault="00492BBC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492BBC">
        <w:rPr>
          <w:b/>
          <w:bCs/>
          <w:iCs/>
          <w:sz w:val="26"/>
          <w:szCs w:val="26"/>
        </w:rPr>
        <w:t>по результатам экспертизы проекта решения Думы города об одобрении предложений о внесении изменений в муниципальную программу «Развитие гражданского общества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92BBC">
        <w:rPr>
          <w:sz w:val="26"/>
          <w:szCs w:val="26"/>
          <w:lang w:eastAsia="ru-RU"/>
        </w:rPr>
        <w:t>пр</w:t>
      </w:r>
      <w:proofErr w:type="spellEnd"/>
      <w:r w:rsidRPr="00492BBC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«Развитие гражданского общества города Когалыма», (далее – Проект решения), представленного  управлением внутренней политики Администрации города Когалыма с приложением пояснительной записки и финансово-экономического обоснования.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«Развитие гражданского общества города Когалыма», утвержденную постановлением Администрации города Когалыма от 20.12.2024 № №2527 (далее - Программа).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и корректировки значений целевых показателей Программы.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511 683,90 тыс. рублей, в том числе по годам: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- 2026 год – 126 080,10 тыс. рублей;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- 2027 год – 128 049,40 тыс. рублей;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- 2028 год – 128 777,20 тыс. рублей;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- 2029 год – 128 777,20 тыс. рублей.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Когалыма, внебюджетные источники финансирования.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492BBC" w:rsidRPr="00492BBC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В целом Проект решения и приложение к нему не противоречат нормам бюджетного законодательства, а также требованиям Порядка №1762.</w:t>
      </w:r>
    </w:p>
    <w:p w:rsidR="00D84D93" w:rsidRPr="004A29AE" w:rsidRDefault="00492BBC" w:rsidP="00492BBC">
      <w:pPr>
        <w:ind w:firstLine="709"/>
        <w:jc w:val="both"/>
        <w:rPr>
          <w:sz w:val="26"/>
          <w:szCs w:val="26"/>
          <w:lang w:eastAsia="ru-RU"/>
        </w:rPr>
      </w:pPr>
      <w:r w:rsidRPr="00492BBC">
        <w:rPr>
          <w:sz w:val="26"/>
          <w:szCs w:val="26"/>
          <w:lang w:eastAsia="ru-RU"/>
        </w:rPr>
        <w:t>Вместе с тем, в ходе экспертизы установлено, что разделе 5 «Финансовое обеспечение муниципальной программы», в графе 5 «2028», по строке «муниципальная программа всего, в том числе», не верно отражен объем финансового обеспечения, отклонение составило 5 тыс. рублей. Данное замечание устранено в ходе экспертизы.</w:t>
      </w:r>
      <w:bookmarkStart w:id="0" w:name="_GoBack"/>
      <w:bookmarkEnd w:id="0"/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92BBC">
        <w:rPr>
          <w:sz w:val="26"/>
          <w:szCs w:val="26"/>
        </w:rPr>
        <w:t>14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92BBC">
        <w:rPr>
          <w:sz w:val="26"/>
          <w:szCs w:val="26"/>
        </w:rPr>
        <w:t>65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2BBC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5BC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2026-01-28T05:06:00Z</dcterms:modified>
</cp:coreProperties>
</file>