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41" w:rsidRPr="00633A1D" w:rsidRDefault="00E55341" w:rsidP="00E5534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95360D">
        <w:rPr>
          <w:b/>
          <w:color w:val="000000"/>
          <w:sz w:val="26"/>
          <w:szCs w:val="26"/>
        </w:rPr>
        <w:t>24.10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95360D">
        <w:rPr>
          <w:b/>
          <w:color w:val="000000"/>
          <w:sz w:val="26"/>
          <w:szCs w:val="26"/>
        </w:rPr>
        <w:t>33</w:t>
      </w:r>
    </w:p>
    <w:p w:rsidR="00E55341" w:rsidRDefault="00E55341" w:rsidP="00E55341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="0095360D" w:rsidRPr="0095360D">
        <w:rPr>
          <w:b/>
          <w:sz w:val="26"/>
          <w:szCs w:val="26"/>
        </w:rPr>
        <w:t>О внесении изменений в постановление Администрации города Когалыма от 15.10.2013 №2927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95360D">
        <w:rPr>
          <w:sz w:val="26"/>
          <w:szCs w:val="26"/>
          <w:lang w:eastAsia="ru-RU"/>
        </w:rPr>
        <w:t>пр</w:t>
      </w:r>
      <w:proofErr w:type="spellEnd"/>
      <w:r w:rsidRPr="0095360D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№2927» (далее – Проект постановления) от 30.09.2024 №1826-п с приложением пояснительной записки и финансово-экономического обоснования.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«Укрепление межнационального и межконфессионального согласия, профилактика экстремизма и терроризма в городе Когалыме», утвержденную постановлением Администрации города Когалыма от 15.10.2013 №2927 (далее - Программа) следующих изменений: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увеличение финансирования по мероприятию 3.1. «Повышение уровня антитеррористической защищенности объектов, находящихся в муниципальной собственности» в размере 479,00 тыс. рублей.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2024-2028 гг. составит 3 927,9 тыс. рублей.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25.09.2024 №416-ГД). Объем финансирования на 2024-2026 гг. составит 3 036,9 тыс. рублей, в том числе по годам: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- 2024 год – 2 145,9 тыс. рублей;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- 2025 год – 445,5 тыс. рублей;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- 2026 год – 445,5 тыс. рублей.</w:t>
      </w:r>
    </w:p>
    <w:p w:rsidR="0095360D" w:rsidRPr="0095360D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B72857" w:rsidRDefault="0095360D" w:rsidP="0095360D">
      <w:pPr>
        <w:ind w:firstLine="709"/>
        <w:jc w:val="both"/>
        <w:rPr>
          <w:sz w:val="26"/>
          <w:szCs w:val="26"/>
          <w:lang w:eastAsia="ru-RU"/>
        </w:rPr>
      </w:pPr>
      <w:r w:rsidRPr="0095360D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</w:t>
      </w:r>
    </w:p>
    <w:p w:rsidR="00AC6C33" w:rsidRDefault="00AC6C33" w:rsidP="00CA5F3A">
      <w:pPr>
        <w:ind w:firstLine="709"/>
        <w:jc w:val="both"/>
        <w:rPr>
          <w:sz w:val="26"/>
          <w:szCs w:val="26"/>
          <w:lang w:eastAsia="ru-RU"/>
        </w:rPr>
      </w:pPr>
      <w:r w:rsidRPr="00AC6C33">
        <w:rPr>
          <w:sz w:val="26"/>
          <w:szCs w:val="26"/>
          <w:lang w:eastAsia="ru-RU"/>
        </w:rPr>
        <w:t xml:space="preserve">Заключение от </w:t>
      </w:r>
      <w:r w:rsidR="0095360D">
        <w:rPr>
          <w:sz w:val="26"/>
          <w:szCs w:val="26"/>
          <w:lang w:eastAsia="ru-RU"/>
        </w:rPr>
        <w:t>24.10</w:t>
      </w:r>
      <w:bookmarkStart w:id="0" w:name="_GoBack"/>
      <w:bookmarkEnd w:id="0"/>
      <w:r w:rsidRPr="00AC6C33">
        <w:rPr>
          <w:sz w:val="26"/>
          <w:szCs w:val="26"/>
          <w:lang w:eastAsia="ru-RU"/>
        </w:rPr>
        <w:t>.2024 №28-ЗКЛ-КСП-МП-</w:t>
      </w:r>
      <w:r w:rsidR="0095360D">
        <w:rPr>
          <w:sz w:val="26"/>
          <w:szCs w:val="26"/>
          <w:lang w:eastAsia="ru-RU"/>
        </w:rPr>
        <w:t>33</w:t>
      </w:r>
      <w:r w:rsidRPr="00AC6C33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959D3"/>
    <w:rsid w:val="001B39E9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7AA2"/>
    <w:rsid w:val="00803980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5360D"/>
    <w:rsid w:val="00997F46"/>
    <w:rsid w:val="009B4A86"/>
    <w:rsid w:val="009E24B6"/>
    <w:rsid w:val="009E7CDC"/>
    <w:rsid w:val="00A11D18"/>
    <w:rsid w:val="00A8428B"/>
    <w:rsid w:val="00AA0E0C"/>
    <w:rsid w:val="00AC6396"/>
    <w:rsid w:val="00AC6C33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50531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55341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7E5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33</cp:revision>
  <dcterms:created xsi:type="dcterms:W3CDTF">2024-05-13T08:26:00Z</dcterms:created>
  <dcterms:modified xsi:type="dcterms:W3CDTF">2024-11-21T04:42:00Z</dcterms:modified>
</cp:coreProperties>
</file>