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ПРАВИТЕЛЬСТВО РОССИЙСКОЙ ФЕДЕРАЦИИ</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ПОСТАНОВЛЕНИЕ</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от 27 февраля 2020 г. N 208</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ОБ УТВЕРЖДЕНИИ ФЕДЕРАЛЬНОГО СТАНДАРТА</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"ПЛАНИРОВАНИЕ ПРОВЕРОК, РЕВИЗИЙ И ОБСЛЕДОВАНИЙ"</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w:t>
      </w:r>
      <w:hyperlink r:id="rId4" w:history="1">
        <w:r>
          <w:rPr>
            <w:rFonts w:ascii="Arial" w:hAnsi="Arial" w:cs="Arial"/>
            <w:color w:val="0000FF"/>
            <w:sz w:val="20"/>
            <w:szCs w:val="20"/>
          </w:rPr>
          <w:t>пунктом 3 статьи 269.2</w:t>
        </w:r>
      </w:hyperlink>
      <w:r>
        <w:rPr>
          <w:rFonts w:ascii="Arial" w:hAnsi="Arial" w:cs="Arial"/>
          <w:sz w:val="20"/>
          <w:szCs w:val="20"/>
        </w:rPr>
        <w:t xml:space="preserve"> Бюджетного кодекса Российской Федерации Правительство Российской Федерации постановляет:</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прилагаемый федеральный </w:t>
      </w:r>
      <w:hyperlink w:anchor="Par26" w:history="1">
        <w:r>
          <w:rPr>
            <w:rFonts w:ascii="Arial" w:hAnsi="Arial" w:cs="Arial"/>
            <w:color w:val="0000FF"/>
            <w:sz w:val="20"/>
            <w:szCs w:val="20"/>
          </w:rPr>
          <w:t>стандарт</w:t>
        </w:r>
      </w:hyperlink>
      <w:r>
        <w:rPr>
          <w:rFonts w:ascii="Arial" w:hAnsi="Arial" w:cs="Arial"/>
          <w:sz w:val="20"/>
          <w:szCs w:val="20"/>
        </w:rPr>
        <w:t xml:space="preserve"> внутреннего государственного (муниципального) финансового контроля "Планирование проверок, ревизий и обследований".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Настоящее постановление вступает в силу с 1 июля 2020 г.</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Председатель Правительства</w:t>
      </w:r>
    </w:p>
    <w:p w:rsidR="001D4144" w:rsidRDefault="001D4144" w:rsidP="001D414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D4144" w:rsidRDefault="001D4144" w:rsidP="001D414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М.МИШУСТИН</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1D4144" w:rsidRDefault="001D4144" w:rsidP="001D414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Правительства</w:t>
      </w:r>
    </w:p>
    <w:p w:rsidR="001D4144" w:rsidRDefault="001D4144" w:rsidP="001D414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1D4144" w:rsidRDefault="001D4144" w:rsidP="001D414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27 февраля 2020 г. N 208</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bookmarkStart w:id="0" w:name="Par26"/>
      <w:bookmarkEnd w:id="0"/>
      <w:r>
        <w:rPr>
          <w:rFonts w:ascii="Arial" w:eastAsiaTheme="minorHAnsi" w:hAnsi="Arial" w:cs="Arial"/>
          <w:b/>
          <w:bCs/>
          <w:color w:val="auto"/>
          <w:sz w:val="20"/>
          <w:szCs w:val="20"/>
        </w:rPr>
        <w:t>ФЕДЕРАЛЬНЫЙ СТАНДАРТ</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ВНУТРЕННЕГО ГОСУДАРСТВЕННОГО (МУНИЦИПАЛЬНОГО) ФИНАНСОВОГО</w:t>
      </w: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КОНТРОЛЯ "ПЛАНИРОВАНИЕ ПРОВЕРОК, РЕВИЗИЙ И ОБСЛЕДОВАНИЙ"</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 Общие положения</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Федеральный стандарт внутреннего государственного (муниципального) финансового контроля "Планирование проверок, ревизий и обследований" (далее - стандарт) разработан в целях установления требований к планированию проверок, ревизий и обследований, осуществляемых в соответствии с бюджетным законодательством Российской Федерации и иными правовыми актами, регулирующими бюджетные правоотношения органом внутреннего государственного (муниципального) финансового контроля (далее соответственно - орган контроля, контрольные мероприятия).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 контроля формирует и утверждает документ, устанавливающий на очередной финансовый год перечень и сроки выполнения органом контроля контрольных мероприятий (далее - план контрольных мероприятий). План контрольных мероприятий содержит следующую информацию:</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темы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наименования объектов внутреннего государственного (муниципального) финансового контроля (далее - объект контроля) либо групп объектов контроля по каждому контрольному мероприятию;</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проверяемый период;</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период (дата) начала проведения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решению руководителя органа контроля в плане контрольных мероприятий указываются сведения о должностных лицах или структурных подразделениях органа контроля, ответственных за проведение контрольного мероприятия.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 контроля вправе утвердить форму плана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3. На стадии формирования плана контрольных мероприятий составляется проект плана контрольных мероприятий с применением риск-ориентированного подхода, выражающегося в необходимости проведения контрольного мероприятия в очередном финансовом году на основании идентификации принадлежности объекта контроля и (или) направления его финансово-хозяйственной деятельности (далее - предмет контроля) к предусмотренным </w:t>
      </w:r>
      <w:hyperlink w:anchor="Par73" w:history="1">
        <w:r>
          <w:rPr>
            <w:rFonts w:ascii="Arial" w:hAnsi="Arial" w:cs="Arial"/>
            <w:color w:val="0000FF"/>
            <w:sz w:val="20"/>
            <w:szCs w:val="20"/>
          </w:rPr>
          <w:t>пунктом 11</w:t>
        </w:r>
      </w:hyperlink>
      <w:r>
        <w:rPr>
          <w:rFonts w:ascii="Arial" w:hAnsi="Arial" w:cs="Arial"/>
          <w:sz w:val="20"/>
          <w:szCs w:val="20"/>
        </w:rPr>
        <w:t xml:space="preserve"> стандарта категориям риска.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Под риском понимается степень возможности наступления события, негативно влияющего на деятельность объекта контроля в финансово-бюджетной сфере и результаты указанной деятельности, а также на законность, эффективность и целевой характер использования средств бюджета (средств, полученных из бюджета).</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II. Планирование контрольных мероприятий</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 Планирование контрольных мероприятий включает следующие этапы:</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формирование исходных данных для составления проекта плана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составление проекта плана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утверждение плана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Формирование исходных данных для составления проекта плана контрольных мероприятий включает:</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сбор и анализ информации об объектах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определение объектов контроля и тем контрольных мероприятий, включаемых в проект плана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определение предельного количества контрольных мероприятий в проекте плана контрольных мероприятий с учетом возможностей органа контроля на очередной финансовый год.</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 Сбор и анализ информации об объектах контроля осуществляется автоматизированным (при наличии технической возможности) и (или) ручным способом. При автоматизированном способе сбор и анализ информации об объектах контроля осуществляется в электронном виде с использованием прикладного программного обеспечения, предусматривающего в том числе автоматизированную проверку данных на </w:t>
      </w:r>
      <w:proofErr w:type="spellStart"/>
      <w:r>
        <w:rPr>
          <w:rFonts w:ascii="Arial" w:hAnsi="Arial" w:cs="Arial"/>
          <w:sz w:val="20"/>
          <w:szCs w:val="20"/>
        </w:rPr>
        <w:t>непревышение</w:t>
      </w:r>
      <w:proofErr w:type="spellEnd"/>
      <w:r>
        <w:rPr>
          <w:rFonts w:ascii="Arial" w:hAnsi="Arial" w:cs="Arial"/>
          <w:sz w:val="20"/>
          <w:szCs w:val="20"/>
        </w:rPr>
        <w:t xml:space="preserve"> заданным показателям (параметрам), автоматизированную сверку данных, расчет коэффициентов, сопоставление табличных данных и форм отчетности. При ручном способе сбор и анализ информации об объектах контроля осуществляется путем изучения должностным лицом органа контроля документов на бумажном носителе.</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Информация об объектах контроля, в том числе информация из информационных систем, владельцами или операторами которых являются Федеральное казначейство, Министерство финансов Российской Федерации, иные государственные и муниципальные органы, должна позволять определить по каждому объекту контроля и предмету контроля значение критерия "вероятность допущения нарушения" (далее - критерий "вероятность") и значение критерия "существенность последствий нарушения" (далее - критерий "существенность").</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При определении значения критерия "вероятность" используется следующая информация: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значения показателей качества финансового менеджмента объекта контроля, определяемые с учетом результатов проведения мониторинга качества финансового менеджмента в порядке, принятом в целях реализации положений </w:t>
      </w:r>
      <w:hyperlink r:id="rId5" w:history="1">
        <w:r>
          <w:rPr>
            <w:rFonts w:ascii="Arial" w:hAnsi="Arial" w:cs="Arial"/>
            <w:color w:val="0000FF"/>
            <w:sz w:val="20"/>
            <w:szCs w:val="20"/>
          </w:rPr>
          <w:t>статьи 160.2-1</w:t>
        </w:r>
      </w:hyperlink>
      <w:r>
        <w:rPr>
          <w:rFonts w:ascii="Arial" w:hAnsi="Arial" w:cs="Arial"/>
          <w:sz w:val="20"/>
          <w:szCs w:val="20"/>
        </w:rPr>
        <w:t xml:space="preserve"> Бюджетного кодекса Российской Федерации;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значения показателей качества управления финансами в публично-правовых образованиях, получающих целевые межбюджетные трансферты и бюджетные кредиты;</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наличие (отсутствие) в проверяемом периоде значительных изменений в деятельности объекта контроля, в том числе в его организационной структуре (изменение типа учреждения, реорганизация юридического лица (слияние, присоединение, разделение, выделение, преобразование), создание (ликвидация) обособленных структурных подразделений, изменение состава видов деятельности (полномочий), в том числе закрепление новых видов оказываемых услуг и выполняемых работ);</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наличие (отсутствие) нарушений, выявленных по результатам ранее проведенных органом контроля и иными уполномоченными органами контрольных мероприятий в отношении объекта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полнота исполнения объектом контроля представлений, предписаний об устранении объектом контроля нарушений и недостатков, выявленных по результатам ранее проведенных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наличие (отсутствие) в отношении объекта контроля обращений (жалоб) граждан, объединений граждан, юридических лиц, поступивших в органы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иная информация, необходимая при определении значения критерия "вероятность", установленная ведомственным стандартом органа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определении значения критерия "существенность" используется следующая информация: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объемы финансового обеспечения деятельности объекта контроля или выполнения мероприятий (мер государственной (муниципальной) поддержки) за счет средств бюджета и (или) средств, предоставленных из бюджета, в проверяемые отчетные периоды (в целом и (или) дифференцированно) по видам расходов, источников финансирования дефицита бюджета;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значимость мероприятий (мер государственной (муниципальной) поддержки), в отношении которых возможно проведение контрольного мероприятия;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величина объема принятых обязательств объекта контроля и (или) его соотношения к объему финансового обеспечения деятельности объекта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осуществление объектом контроля закупок товаров, работ, услуг для обеспечения государственных (муниципальных) нужд, соответствующих следующим параметрам:</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осуществление закупки товаров, работ, услуг для обеспечения государственных (муниципальных) нужд у единственного поставщика по причине несостоявшейся конкурентной процедуры или на основании </w:t>
      </w:r>
      <w:hyperlink r:id="rId6" w:history="1">
        <w:r>
          <w:rPr>
            <w:rFonts w:ascii="Arial" w:hAnsi="Arial" w:cs="Arial"/>
            <w:color w:val="0000FF"/>
            <w:sz w:val="20"/>
            <w:szCs w:val="20"/>
          </w:rPr>
          <w:t>пунктов 2</w:t>
        </w:r>
      </w:hyperlink>
      <w:r>
        <w:rPr>
          <w:rFonts w:ascii="Arial" w:hAnsi="Arial" w:cs="Arial"/>
          <w:sz w:val="20"/>
          <w:szCs w:val="20"/>
        </w:rPr>
        <w:t xml:space="preserve"> и </w:t>
      </w:r>
      <w:hyperlink r:id="rId7" w:history="1">
        <w:r>
          <w:rPr>
            <w:rFonts w:ascii="Arial" w:hAnsi="Arial" w:cs="Arial"/>
            <w:color w:val="0000FF"/>
            <w:sz w:val="20"/>
            <w:szCs w:val="20"/>
          </w:rPr>
          <w:t>9 части 1 статьи 93</w:t>
        </w:r>
      </w:hyperlink>
      <w:r>
        <w:rPr>
          <w:rFonts w:ascii="Arial" w:hAnsi="Arial" w:cs="Arial"/>
          <w:sz w:val="20"/>
          <w:szCs w:val="2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условия об исполнении контракта по этапам;</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условия о выплате аванса;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заключение контракта по результатам повторной закупки при условии расторжения первоначального контракта по соглашению сторон;</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иная информация, необходимая при определении значения критерия "существенность", установленная ведомственным стандартом органа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bookmarkStart w:id="1" w:name="Par73"/>
      <w:bookmarkEnd w:id="1"/>
      <w:r>
        <w:rPr>
          <w:rFonts w:ascii="Arial" w:hAnsi="Arial" w:cs="Arial"/>
          <w:sz w:val="20"/>
          <w:szCs w:val="20"/>
        </w:rPr>
        <w:t>11. При определении значения критерия "вероятность" и значения критерия "существенность" используется шкала оценок - "низкая оценка", "средняя оценка" или "высокая оценка". На основании анализа рисков - сочетания критерия "вероятность" и критерия "существенность" и определения их значения по шкале оценок каждому предмету контроля и объекту контроля присваивается одна из следующих категорий риска: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чрезвычайно высокий риск - I категория, если значение критерия "существенность" и значение критерия "вероятность" определяются по шкале оценок как "высокая оценка";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высокий риск - 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"средняя оценка";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значительный риск - III категория, если значение критерия "существенность" определяется по шкале оценок как "высокая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"средняя оценка", а значение критерия "вероятность" определяется по шкале оценок как "высокая оценка";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средний риск - IV категория, если значение критерия "существенность" и значение критерия "вероятность" определяются по шкале оценок как "средняя оценка" или значение критерия "существенность" </w:t>
      </w:r>
      <w:r>
        <w:rPr>
          <w:rFonts w:ascii="Arial" w:hAnsi="Arial" w:cs="Arial"/>
          <w:sz w:val="20"/>
          <w:szCs w:val="20"/>
        </w:rPr>
        <w:lastRenderedPageBreak/>
        <w:t>определяется по шкале оценок как "низкая оценка", а значение критерия "вероятность" определяется по шкале оценок как "высокая оценка";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умеренный риск - V категория, если значение критерия "существенность" определяется по шкале оценок как "средняя оценка", а значение критерия "вероятность" определяется по шкале оценок как "низкая оценка" или значение критерия "существенность" определяется по шкале оценок как "низкая оценка", а значение критерия "вероятность" определяется по шкале оценок как "средняя оценка";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низкий риск - VI категория, если значение критерия "существенность" и значение критерия "вероятность" определяются по шкале оценок как "низкая оценка".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 случае если объекты контроля имеют одинаковые значения критерия "вероятность" и критерия "существенность", приоритетным к включению в план контрольных мероприятий является объект контроля, в отношении которого было проведено идентичное контрольное мероприятие, то есть контрольное мероприятие в отношении того же объекта контроля и темы контрольного мероприятия, с большей длительностью периода между проведением такого контрольного мероприятия и составлением проекта плана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13. К типовым темам плановых контрольных мероприятий относятся: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проверка осуществления расходов на обеспечение выполнения функций казенного учреждения (государственного органа, органа местного самоуправления) и их отражения в бюджетном учете и отчетности;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проверка осуществления расходов бюджета публично-правового образования на реализацию мероприятий государственной (муниципальной) программы (подпрограммы, целевой программы);</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проверка предоставления и (или) использования субсидий, предоставленных из бюджета публично-правового образования бюджетным (автономным) учреждениям, и их отражения в бухгалтерском учете и бухгалтерской (финансовой) отчетности;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проверка предоставления субсидий юридическим лицам (за исключением субсидий государственным (муниципальным) учреждениям), индивидуальным предпринимателям, физическим лицам, а также физическим лицам - производителям товаров, работ, услуг и (или) соблюдения условий соглашений (договоров) об их предоставлении;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проверка осуществления бюджетных инвестиций;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проверка соблюдения целей, порядка и условий предоставления межбюджетной субсидии или субвенции либо иного межбюджетного трансферта, имеющего целевое назначение;</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проверка предоставления и использования средств, предоставленных в виде взноса в уставный капитал юридических лиц;</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проверка исполнения соглашений о предоставлении бюджетных кредитов;</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проверка использования средств государственного внебюджетного фонда;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проверка использования средств, предоставленных юридическим лицам из бюджета государственного внебюджетного фонда по договорам о финансовом обеспечении обязательного медицинского страхования;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проверка соблюдения законодательства Российской Федерации и иных правовых актов о контрактной системе в сфере закупок товаров, работ, услуг для обеспечения государственных и муниципальных нужд в отношении отдельных закупок для обеспечения федеральных нужд (нужд соответствующего субъекта Российской Федерации и муниципальных нужд);</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проверка достоверности отчета о реализации государственной (муниципальной) программы, отчета об исполнении государственного (муниципального) задания или отчета о достижении показателей результативности;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н) проверка исполнения бюджетных полномочий по администрированию доходов или источников финансирования дефицита федерального бюджета (бюджета субъекта Российской Федерации, местного бюджета и бюджета государственного внебюджетного фонда Российской Федерации);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проверка (ревизия) финансово-хозяйственной деятельности объекта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проверка соблюдения условий договоров (соглашений) с кредитными организациями, осуществляющими отдельные операции с бюджетными средствами;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проверка использования средств кредита (займа), обеспеченного государственной (муниципальной) гарантией.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Орган контроля вправе разработать ведомственный стандарт, определяющий требования к анализу рисков, который предусматривает перечни иной информации для определения значения критерия "вероятность" и значения критерия "существенность" и определяет дополнительные значения шкалы оценок значения критерия "существенность" и значения критерия "вероятность" для целей установления дополнительных категорий риска, присваиваемых объекту контроля и предмету контроля при составлении проекта плана контрольных мероприятий с применением риск-ориентированного подхода.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Ведомственным стандартом органа контроля могут быть предусмотрены типовые темы плановых контрольных мероприятий, являющиеся детализацией предусмотренных </w:t>
      </w:r>
      <w:hyperlink w:anchor="Par81" w:history="1">
        <w:r>
          <w:rPr>
            <w:rFonts w:ascii="Arial" w:hAnsi="Arial" w:cs="Arial"/>
            <w:color w:val="0000FF"/>
            <w:sz w:val="20"/>
            <w:szCs w:val="20"/>
          </w:rPr>
          <w:t>пунктом 13</w:t>
        </w:r>
      </w:hyperlink>
      <w:r>
        <w:rPr>
          <w:rFonts w:ascii="Arial" w:hAnsi="Arial" w:cs="Arial"/>
          <w:sz w:val="20"/>
          <w:szCs w:val="20"/>
        </w:rPr>
        <w:t xml:space="preserve"> стандарта типовых тем контрольных мероприятий в части предмета контроля и (или) указания на объекты контроля в соответствии со </w:t>
      </w:r>
      <w:hyperlink r:id="rId8" w:history="1">
        <w:r>
          <w:rPr>
            <w:rFonts w:ascii="Arial" w:hAnsi="Arial" w:cs="Arial"/>
            <w:color w:val="0000FF"/>
            <w:sz w:val="20"/>
            <w:szCs w:val="20"/>
          </w:rPr>
          <w:t>статьей 266.1</w:t>
        </w:r>
      </w:hyperlink>
      <w:r>
        <w:rPr>
          <w:rFonts w:ascii="Arial" w:hAnsi="Arial" w:cs="Arial"/>
          <w:sz w:val="20"/>
          <w:szCs w:val="20"/>
        </w:rPr>
        <w:t xml:space="preserve"> Бюджетного кодекса Российской Федерации.</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составлении проекта плана контрольных мероприятий в рамках одного контрольного мероприятия может быть использовано несколько типовых тем плановых контрольных мероприятий, указанных в </w:t>
      </w:r>
      <w:hyperlink w:anchor="Par81" w:history="1">
        <w:r>
          <w:rPr>
            <w:rFonts w:ascii="Arial" w:hAnsi="Arial" w:cs="Arial"/>
            <w:color w:val="0000FF"/>
            <w:sz w:val="20"/>
            <w:szCs w:val="20"/>
          </w:rPr>
          <w:t>пункте 13</w:t>
        </w:r>
      </w:hyperlink>
      <w:r>
        <w:rPr>
          <w:rFonts w:ascii="Arial" w:hAnsi="Arial" w:cs="Arial"/>
          <w:sz w:val="20"/>
          <w:szCs w:val="20"/>
        </w:rPr>
        <w:t xml:space="preserve"> стандарта и в ведомственном стандарте органа контроля.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Определение предельного количества контрольных мероприятий в проекте плана контрольных мероприятий осуществляется на основании следующих факторов:</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обеспеченность органа контроля кадровыми, материально-техническими и финансовыми ресурсами в очередном финансовом году;</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выделение резерва временных и трудовых ресурсов для проведения внеплановых контрольных мероприятий. Резерв временных и трудовых ресурсов для выполнения внеплановых контрольных мероприятий определяется на основании данных о внеплановых контрольных мероприятиях, осуществленных в годы, предшествующие году составления проекта плана контрольной деятельности (1 - 2 года).</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определении количества контрольных мероприятий, включаемых в проект плана контрольных мероприятий, составляемый с применением риск-ориентированного подхода, учитывается необходимость безусловного и первоочередного включения в проект плана контрольных мероприятий объектов контроля на основании поручений Президента Российской Федерации, Правительства Российской Федерации, высшего должностного лица субъекта Российской Федерации (муниципального образования), высшего исполнительного органа государственной власти (местной администрации) соответственно. Контрольные мероприятия на основании обращений (поручений) иных органов и организаций включаются в проект плана контрольных мероприятий, составляемый с применением риск-ориентированного подхода, при наличии в указанных обращениях (поручениях) обоснования необходимости проведения соответствующих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План контрольных мероприятий должен быть утвержден до завершения года, предшествующего планируемому году.</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 утвержденный план контрольных мероприятий могут вноситься изменения в случаях невозможности проведения плановых контрольных мероприятий в связи с:</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наступлением обстоятельств непреодолимой силы (чрезвычайных и непредотвратимых при наступивших условиях обстоятельств);</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недостаточностью временных и (или) трудовых ресурсов при необходимости проведения внеплановых контрольных мероприятий;</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внесением изменений в законодательные и иные нормативные правовые акты Российской Федерации, нормативные правовые акты субъектов Российской Федерации и муниципальные правовые акты;</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выявлением в ходе подготовки контрольного мероприятия существенных обстоятельств (необходимость изменения темы контрольного мероприятия, данных об объектах контроля, перечня объектов контроля (включения и (или) исключения и (или) уточнения, в том числе дополнительных объектов контроля), сроков проведения контрольных мероприятий, проверяемого периода, должностных лиц или структурных подразделений органа контроля, ответственных за проведение контрольного мероприятия);</w:t>
      </w:r>
    </w:p>
    <w:p w:rsidR="001D4144" w:rsidRDefault="001D4144" w:rsidP="001D414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реорганизацией, ликвидацией объектов контроля.</w:t>
      </w:r>
    </w:p>
    <w:p w:rsidR="001D4144" w:rsidRDefault="001D4144" w:rsidP="001D4144">
      <w:pPr>
        <w:autoSpaceDE w:val="0"/>
        <w:autoSpaceDN w:val="0"/>
        <w:adjustRightInd w:val="0"/>
        <w:spacing w:after="0" w:line="240" w:lineRule="auto"/>
        <w:jc w:val="both"/>
        <w:rPr>
          <w:rFonts w:ascii="Arial" w:hAnsi="Arial" w:cs="Arial"/>
          <w:sz w:val="20"/>
          <w:szCs w:val="20"/>
        </w:rPr>
      </w:pPr>
    </w:p>
    <w:p w:rsidR="001D4144" w:rsidRDefault="001D4144" w:rsidP="001D4144">
      <w:pPr>
        <w:autoSpaceDE w:val="0"/>
        <w:autoSpaceDN w:val="0"/>
        <w:adjustRightInd w:val="0"/>
        <w:spacing w:after="0" w:line="240" w:lineRule="auto"/>
        <w:jc w:val="both"/>
        <w:rPr>
          <w:rFonts w:ascii="Arial" w:hAnsi="Arial" w:cs="Arial"/>
          <w:sz w:val="20"/>
          <w:szCs w:val="20"/>
        </w:rPr>
      </w:pPr>
    </w:p>
    <w:p w:rsidR="007B661B" w:rsidRDefault="007B661B">
      <w:bookmarkStart w:id="3" w:name="_GoBack"/>
      <w:bookmarkEnd w:id="3"/>
    </w:p>
    <w:sectPr w:rsidR="007B661B" w:rsidSect="00DF20E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18D"/>
    <w:rsid w:val="0017718D"/>
    <w:rsid w:val="001D4144"/>
    <w:rsid w:val="007B66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5A95D2-2CAE-437D-B747-3AA9E9751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22628C72B880D13B93ED546AE656C76AE2A73960D4049D8A670B87B9D69F872AA660DC98C619B9BE07465FFDD85825E55D8FE1BDC2r5K0E" TargetMode="External"/><Relationship Id="rId3" Type="http://schemas.openxmlformats.org/officeDocument/2006/relationships/webSettings" Target="webSettings.xml"/><Relationship Id="rId7" Type="http://schemas.openxmlformats.org/officeDocument/2006/relationships/hyperlink" Target="consultantplus://offline/ref=DA22628C72B880D13B93ED546AE656C76AE1A33F6FD4049D8A670B87B9D69F872AA660D697C711E6BB125707F0D14F3AE64193E3BFrCK0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A22628C72B880D13B93ED546AE656C76AE1A33F6FD4049D8A670B87B9D69F872AA660DE9FC118B9BE07465FFDD85825E55D8FE1BDC2r5K0E" TargetMode="External"/><Relationship Id="rId5" Type="http://schemas.openxmlformats.org/officeDocument/2006/relationships/hyperlink" Target="consultantplus://offline/ref=DA22628C72B880D13B93ED546AE656C76AE2A73960D4049D8A670B87B9D69F872AA660DB96C612B9BE07465FFDD85825E55D8FE1BDC2r5K0E" TargetMode="External"/><Relationship Id="rId10" Type="http://schemas.openxmlformats.org/officeDocument/2006/relationships/theme" Target="theme/theme1.xml"/><Relationship Id="rId4" Type="http://schemas.openxmlformats.org/officeDocument/2006/relationships/hyperlink" Target="consultantplus://offline/ref=DA22628C72B880D13B93ED546AE656C76AE2A73960D4049D8A670B87B9D69F872AA660DA96C118B9BE07465FFDD85825E55D8FE1BDC2r5K0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2719</Words>
  <Characters>15500</Characters>
  <Application>Microsoft Office Word</Application>
  <DocSecurity>0</DocSecurity>
  <Lines>129</Lines>
  <Paragraphs>36</Paragraphs>
  <ScaleCrop>false</ScaleCrop>
  <Company/>
  <LinksUpToDate>false</LinksUpToDate>
  <CharactersWithSpaces>18183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Мяч Наталья Дмитриевна</dc:creator>
  <cp:keywords/>
  <dc:description/>
  <cp:lastModifiedBy>Мяч Наталья Дмитриевна</cp:lastModifiedBy>
  <cp:revision>2</cp:revision>
  <dcterms:created xsi:type="dcterms:W3CDTF">2020-12-09T04:10:00Z</dcterms:created>
  <dcterms:modified xsi:type="dcterms:W3CDTF">2020-12-09T04:10:00Z</dcterms:modified>
</cp:coreProperties>
</file>