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080" w:rsidRPr="00002095" w:rsidRDefault="00B54080" w:rsidP="00B54080">
      <w:pPr>
        <w:pStyle w:val="1"/>
        <w:jc w:val="both"/>
        <w:rPr>
          <w:rFonts w:ascii="Times New Roman" w:hAnsi="Times New Roman" w:cs="Times New Roman"/>
          <w:color w:val="auto"/>
        </w:rPr>
      </w:pPr>
      <w:bookmarkStart w:id="0" w:name="_GoBack"/>
      <w:bookmarkEnd w:id="0"/>
      <w:r w:rsidRPr="00002095">
        <w:rPr>
          <w:rFonts w:ascii="Times New Roman" w:hAnsi="Times New Roman" w:cs="Times New Roman"/>
          <w:color w:val="auto"/>
        </w:rPr>
        <w:t xml:space="preserve">Информация о государственных услугах в области содействия занятости населения для граждан </w:t>
      </w:r>
      <w:proofErr w:type="spellStart"/>
      <w:r w:rsidRPr="00002095">
        <w:rPr>
          <w:rFonts w:ascii="Times New Roman" w:hAnsi="Times New Roman" w:cs="Times New Roman"/>
          <w:color w:val="auto"/>
        </w:rPr>
        <w:t>предпенсионного</w:t>
      </w:r>
      <w:proofErr w:type="spellEnd"/>
      <w:r w:rsidRPr="00002095">
        <w:rPr>
          <w:rFonts w:ascii="Times New Roman" w:hAnsi="Times New Roman" w:cs="Times New Roman"/>
          <w:color w:val="auto"/>
        </w:rPr>
        <w:t xml:space="preserve"> возраста</w:t>
      </w:r>
    </w:p>
    <w:p w:rsidR="00B54080" w:rsidRDefault="00B54080" w:rsidP="00B54080">
      <w:pPr>
        <w:pStyle w:val="a3"/>
        <w:jc w:val="both"/>
        <w:rPr>
          <w:sz w:val="28"/>
          <w:szCs w:val="28"/>
        </w:rPr>
      </w:pPr>
      <w:proofErr w:type="gramStart"/>
      <w:r>
        <w:rPr>
          <w:sz w:val="28"/>
          <w:szCs w:val="28"/>
        </w:rPr>
        <w:t xml:space="preserve">Президентом Российской Федерации В.В. Путиным 3 октября 2018 года подписан Федеральный закон № 350-ФЗ «О внесении изменений в отдельные законодательные акты Российской Федерации по вопросам назначения и выплаты пенсий», в рамках которого в том числе внесены изменения в Закон Российской Федерации от 19 апреля 1991 года № 1032-1 «О занятости населения в Российской Федерации» (далее – Закон о занятости населения), </w:t>
      </w:r>
      <w:r>
        <w:rPr>
          <w:b/>
          <w:bCs/>
          <w:sz w:val="28"/>
          <w:szCs w:val="28"/>
        </w:rPr>
        <w:t>вступающие в</w:t>
      </w:r>
      <w:proofErr w:type="gramEnd"/>
      <w:r>
        <w:rPr>
          <w:b/>
          <w:bCs/>
          <w:sz w:val="28"/>
          <w:szCs w:val="28"/>
        </w:rPr>
        <w:t xml:space="preserve"> силу с 1 января 2019 года.</w:t>
      </w:r>
      <w:r>
        <w:rPr>
          <w:sz w:val="28"/>
          <w:szCs w:val="28"/>
        </w:rPr>
        <w:t xml:space="preserve"> </w:t>
      </w:r>
    </w:p>
    <w:p w:rsidR="00B54080" w:rsidRDefault="00B54080" w:rsidP="00B54080">
      <w:pPr>
        <w:pStyle w:val="a3"/>
        <w:jc w:val="both"/>
        <w:rPr>
          <w:sz w:val="28"/>
          <w:szCs w:val="28"/>
        </w:rPr>
      </w:pPr>
      <w:r>
        <w:rPr>
          <w:sz w:val="28"/>
          <w:szCs w:val="28"/>
        </w:rPr>
        <w:t xml:space="preserve">Значительная часть внесенных изменений касается граждан </w:t>
      </w:r>
      <w:proofErr w:type="spellStart"/>
      <w:r>
        <w:rPr>
          <w:sz w:val="28"/>
          <w:szCs w:val="28"/>
        </w:rPr>
        <w:t>предпенсионного</w:t>
      </w:r>
      <w:proofErr w:type="spellEnd"/>
      <w:r>
        <w:rPr>
          <w:sz w:val="28"/>
          <w:szCs w:val="28"/>
        </w:rPr>
        <w:t xml:space="preserve"> возраста. При этом</w:t>
      </w:r>
      <w:proofErr w:type="gramStart"/>
      <w:r>
        <w:rPr>
          <w:sz w:val="28"/>
          <w:szCs w:val="28"/>
        </w:rPr>
        <w:t>,</w:t>
      </w:r>
      <w:proofErr w:type="gramEnd"/>
      <w:r>
        <w:rPr>
          <w:sz w:val="28"/>
          <w:szCs w:val="28"/>
        </w:rPr>
        <w:t xml:space="preserve"> к категории граждан </w:t>
      </w:r>
      <w:proofErr w:type="spellStart"/>
      <w:r>
        <w:rPr>
          <w:sz w:val="28"/>
          <w:szCs w:val="28"/>
        </w:rPr>
        <w:t>предпенсионного</w:t>
      </w:r>
      <w:proofErr w:type="spellEnd"/>
      <w:r>
        <w:rPr>
          <w:sz w:val="28"/>
          <w:szCs w:val="28"/>
        </w:rPr>
        <w:t xml:space="preserve"> возраста, согласно Закону о занятости населения, относятся граждане за 5 лет до наступления возраста, дающего право на страховую пенсию по старости. </w:t>
      </w:r>
    </w:p>
    <w:p w:rsidR="00B54080" w:rsidRDefault="00B54080" w:rsidP="00B54080">
      <w:pPr>
        <w:pStyle w:val="a3"/>
        <w:jc w:val="both"/>
        <w:rPr>
          <w:sz w:val="28"/>
          <w:szCs w:val="28"/>
        </w:rPr>
      </w:pPr>
      <w:r>
        <w:rPr>
          <w:sz w:val="28"/>
          <w:szCs w:val="28"/>
        </w:rPr>
        <w:t xml:space="preserve">Граждане </w:t>
      </w:r>
      <w:proofErr w:type="spellStart"/>
      <w:r>
        <w:rPr>
          <w:sz w:val="28"/>
          <w:szCs w:val="28"/>
        </w:rPr>
        <w:t>предпенсионного</w:t>
      </w:r>
      <w:proofErr w:type="spellEnd"/>
      <w:r>
        <w:rPr>
          <w:sz w:val="28"/>
          <w:szCs w:val="28"/>
        </w:rPr>
        <w:t xml:space="preserve"> возраста, обратившиеся в органы службы занятости населения Ханты-Мансийского автономного округа - Югры за оказанием государственной услуги содействия в поиске подходящей работы, и признанные в установленном порядке безработными вправе получить следующие государственные услуги: </w:t>
      </w:r>
    </w:p>
    <w:p w:rsidR="00B54080" w:rsidRDefault="00B54080" w:rsidP="00B54080">
      <w:pPr>
        <w:pStyle w:val="a3"/>
        <w:jc w:val="both"/>
        <w:rPr>
          <w:sz w:val="28"/>
          <w:szCs w:val="28"/>
        </w:rPr>
      </w:pPr>
      <w:r>
        <w:rPr>
          <w:sz w:val="28"/>
          <w:szCs w:val="28"/>
        </w:rPr>
        <w:t xml:space="preserve">- информирование о положении на рынке труда в субъекте Российской Федерации; </w:t>
      </w:r>
    </w:p>
    <w:p w:rsidR="00B54080" w:rsidRDefault="00B54080" w:rsidP="00B54080">
      <w:pPr>
        <w:pStyle w:val="a3"/>
        <w:jc w:val="both"/>
        <w:rPr>
          <w:sz w:val="28"/>
          <w:szCs w:val="28"/>
        </w:rPr>
      </w:pPr>
      <w:r>
        <w:rPr>
          <w:sz w:val="28"/>
          <w:szCs w:val="28"/>
        </w:rPr>
        <w:t xml:space="preserve">- организация ярмарок вакансий и учебных рабочих мест; </w:t>
      </w:r>
    </w:p>
    <w:p w:rsidR="00B54080" w:rsidRDefault="00B54080" w:rsidP="00B54080">
      <w:pPr>
        <w:pStyle w:val="a3"/>
        <w:jc w:val="both"/>
        <w:rPr>
          <w:sz w:val="28"/>
          <w:szCs w:val="28"/>
        </w:rPr>
      </w:pPr>
      <w:r>
        <w:rPr>
          <w:sz w:val="28"/>
          <w:szCs w:val="28"/>
        </w:rPr>
        <w:t xml:space="preserve">-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p>
    <w:p w:rsidR="00B54080" w:rsidRDefault="00B54080" w:rsidP="00B54080">
      <w:pPr>
        <w:pStyle w:val="a3"/>
        <w:jc w:val="both"/>
        <w:rPr>
          <w:sz w:val="28"/>
          <w:szCs w:val="28"/>
        </w:rPr>
      </w:pPr>
      <w:r>
        <w:rPr>
          <w:sz w:val="28"/>
          <w:szCs w:val="28"/>
        </w:rPr>
        <w:t xml:space="preserve">- психологическая поддержка безработных граждан; </w:t>
      </w:r>
    </w:p>
    <w:p w:rsidR="00B54080" w:rsidRDefault="00B54080" w:rsidP="00B54080">
      <w:pPr>
        <w:pStyle w:val="a3"/>
        <w:jc w:val="both"/>
        <w:rPr>
          <w:sz w:val="28"/>
          <w:szCs w:val="28"/>
        </w:rPr>
      </w:pPr>
      <w:r>
        <w:rPr>
          <w:sz w:val="28"/>
          <w:szCs w:val="28"/>
        </w:rPr>
        <w:t xml:space="preserve">- профессиональное обучение и дополнительное профессиональное образование безработных граждан, включая обучение в другой местности; </w:t>
      </w:r>
    </w:p>
    <w:p w:rsidR="00B54080" w:rsidRDefault="00B54080" w:rsidP="00B54080">
      <w:pPr>
        <w:pStyle w:val="a3"/>
        <w:jc w:val="both"/>
        <w:rPr>
          <w:sz w:val="28"/>
          <w:szCs w:val="28"/>
        </w:rPr>
      </w:pPr>
      <w:r>
        <w:rPr>
          <w:sz w:val="28"/>
          <w:szCs w:val="28"/>
        </w:rPr>
        <w:t xml:space="preserve">- организация проведения оплачиваемых общественных работ; </w:t>
      </w:r>
    </w:p>
    <w:p w:rsidR="00B54080" w:rsidRDefault="00B54080" w:rsidP="00B54080">
      <w:pPr>
        <w:pStyle w:val="a3"/>
        <w:jc w:val="both"/>
        <w:rPr>
          <w:sz w:val="28"/>
          <w:szCs w:val="28"/>
        </w:rPr>
      </w:pPr>
      <w:r>
        <w:rPr>
          <w:sz w:val="28"/>
          <w:szCs w:val="28"/>
        </w:rPr>
        <w:t xml:space="preserve">-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B54080" w:rsidRDefault="00B54080" w:rsidP="00B54080">
      <w:pPr>
        <w:pStyle w:val="a3"/>
        <w:jc w:val="both"/>
        <w:rPr>
          <w:sz w:val="28"/>
          <w:szCs w:val="28"/>
        </w:rPr>
      </w:pPr>
      <w:r>
        <w:rPr>
          <w:sz w:val="28"/>
          <w:szCs w:val="28"/>
        </w:rPr>
        <w:lastRenderedPageBreak/>
        <w:t xml:space="preserve">- социальная адаптация безработных граждан на рынке труда; </w:t>
      </w:r>
    </w:p>
    <w:p w:rsidR="00B54080" w:rsidRDefault="00B54080" w:rsidP="00B54080">
      <w:pPr>
        <w:pStyle w:val="a3"/>
        <w:jc w:val="both"/>
        <w:rPr>
          <w:sz w:val="28"/>
          <w:szCs w:val="28"/>
        </w:rPr>
      </w:pPr>
      <w:proofErr w:type="gramStart"/>
      <w:r>
        <w:rPr>
          <w:sz w:val="28"/>
          <w:szCs w:val="28"/>
        </w:rPr>
        <w:t xml:space="preserve">- содействие </w:t>
      </w:r>
      <w:proofErr w:type="spellStart"/>
      <w:r>
        <w:rPr>
          <w:sz w:val="28"/>
          <w:szCs w:val="28"/>
        </w:rPr>
        <w:t>самозанятости</w:t>
      </w:r>
      <w:proofErr w:type="spellEnd"/>
      <w:r>
        <w:rPr>
          <w:sz w:val="28"/>
          <w:szCs w:val="28"/>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Pr>
          <w:sz w:val="28"/>
          <w:szCs w:val="28"/>
        </w:rPr>
        <w:t xml:space="preserve"> регистрации; </w:t>
      </w:r>
    </w:p>
    <w:p w:rsidR="00B54080" w:rsidRDefault="00B54080" w:rsidP="00B54080">
      <w:pPr>
        <w:pStyle w:val="a3"/>
        <w:jc w:val="both"/>
        <w:rPr>
          <w:sz w:val="28"/>
          <w:szCs w:val="28"/>
        </w:rPr>
      </w:pPr>
      <w:r>
        <w:rPr>
          <w:sz w:val="28"/>
          <w:szCs w:val="28"/>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Извлечение из Закона РФ от 19.04.1991 N 1032-1 «О занятости населения в Российской Федерации» (с изм. и доп., вступ. в силу с 01.01.2019) </w:t>
      </w: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Статья 34.2. Дополнительные гарантии социальной поддержки граждан </w:t>
      </w:r>
      <w:proofErr w:type="spellStart"/>
      <w:r>
        <w:rPr>
          <w:rFonts w:ascii="Times New Roman" w:eastAsia="Times New Roman" w:hAnsi="Times New Roman" w:cs="Times New Roman"/>
          <w:b/>
          <w:bCs/>
          <w:sz w:val="28"/>
          <w:szCs w:val="28"/>
          <w:lang w:eastAsia="ru-RU"/>
        </w:rPr>
        <w:t>предпенсионного</w:t>
      </w:r>
      <w:proofErr w:type="spellEnd"/>
      <w:r>
        <w:rPr>
          <w:rFonts w:ascii="Times New Roman" w:eastAsia="Times New Roman" w:hAnsi="Times New Roman" w:cs="Times New Roman"/>
          <w:b/>
          <w:bCs/>
          <w:sz w:val="28"/>
          <w:szCs w:val="28"/>
          <w:lang w:eastAsia="ru-RU"/>
        </w:rPr>
        <w:t xml:space="preserve"> возраста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введена</w:t>
      </w:r>
      <w:proofErr w:type="gramEnd"/>
      <w:r>
        <w:rPr>
          <w:rFonts w:ascii="Times New Roman" w:eastAsia="Times New Roman" w:hAnsi="Times New Roman" w:cs="Times New Roman"/>
          <w:sz w:val="28"/>
          <w:szCs w:val="28"/>
          <w:lang w:eastAsia="ru-RU"/>
        </w:rPr>
        <w:t xml:space="preserve"> Федеральным </w:t>
      </w:r>
      <w:hyperlink r:id="rId6" w:history="1">
        <w:r>
          <w:rPr>
            <w:rStyle w:val="a4"/>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03.10.2018 N 350-ФЗ)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Период выплаты пособия по безработице гражданам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rPr>
          <w:rFonts w:ascii="Times New Roman" w:eastAsia="Times New Roman" w:hAnsi="Times New Roman" w:cs="Times New Roman"/>
          <w:sz w:val="28"/>
          <w:szCs w:val="28"/>
          <w:lang w:eastAsia="ru-RU"/>
        </w:rPr>
        <w:t xml:space="preserve"> и отчисленных за виновные действия), не может превышать 12 месяцев в суммарном исчислении в течение 18 месяцев.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 xml:space="preserve">Период выплаты пособия по безработице гражданам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указанным в </w:t>
      </w:r>
      <w:hyperlink r:id="rId7" w:anchor="P964" w:history="1">
        <w:r>
          <w:rPr>
            <w:rStyle w:val="a4"/>
            <w:rFonts w:ascii="Times New Roman" w:eastAsia="Times New Roman" w:hAnsi="Times New Roman" w:cs="Times New Roman"/>
            <w:sz w:val="28"/>
            <w:szCs w:val="28"/>
            <w:lang w:eastAsia="ru-RU"/>
          </w:rPr>
          <w:t>пункте 1</w:t>
        </w:r>
      </w:hyperlink>
      <w:r>
        <w:rPr>
          <w:rFonts w:ascii="Times New Roman" w:eastAsia="Times New Roman" w:hAnsi="Times New Roman" w:cs="Times New Roman"/>
          <w:sz w:val="28"/>
          <w:szCs w:val="28"/>
          <w:lang w:eastAsia="ru-RU"/>
        </w:rPr>
        <w:t xml:space="preserve">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8" w:history="1">
        <w:r>
          <w:rPr>
            <w:rStyle w:val="a4"/>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28 декабря 2013</w:t>
      </w:r>
      <w:proofErr w:type="gramEnd"/>
      <w:r>
        <w:rPr>
          <w:rFonts w:ascii="Times New Roman" w:eastAsia="Times New Roman" w:hAnsi="Times New Roman" w:cs="Times New Roman"/>
          <w:sz w:val="28"/>
          <w:szCs w:val="28"/>
          <w:lang w:eastAsia="ru-RU"/>
        </w:rP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w:t>
      </w:r>
      <w:hyperlink r:id="rId9" w:history="1">
        <w:r>
          <w:rPr>
            <w:rStyle w:val="a4"/>
            <w:rFonts w:ascii="Times New Roman" w:eastAsia="Times New Roman" w:hAnsi="Times New Roman" w:cs="Times New Roman"/>
            <w:sz w:val="28"/>
            <w:szCs w:val="28"/>
            <w:lang w:eastAsia="ru-RU"/>
          </w:rPr>
          <w:t>статьями 11</w:t>
        </w:r>
      </w:hyperlink>
      <w:r>
        <w:rPr>
          <w:rFonts w:ascii="Times New Roman" w:eastAsia="Times New Roman" w:hAnsi="Times New Roman" w:cs="Times New Roman"/>
          <w:sz w:val="28"/>
          <w:szCs w:val="28"/>
          <w:lang w:eastAsia="ru-RU"/>
        </w:rPr>
        <w:t xml:space="preserve"> и </w:t>
      </w:r>
      <w:hyperlink r:id="rId10" w:history="1">
        <w:r>
          <w:rPr>
            <w:rStyle w:val="a4"/>
            <w:rFonts w:ascii="Times New Roman" w:eastAsia="Times New Roman" w:hAnsi="Times New Roman" w:cs="Times New Roman"/>
            <w:sz w:val="28"/>
            <w:szCs w:val="28"/>
            <w:lang w:eastAsia="ru-RU"/>
          </w:rPr>
          <w:t>12</w:t>
        </w:r>
      </w:hyperlink>
      <w:r>
        <w:rPr>
          <w:rFonts w:ascii="Times New Roman" w:eastAsia="Times New Roman" w:hAnsi="Times New Roman" w:cs="Times New Roman"/>
          <w:sz w:val="28"/>
          <w:szCs w:val="28"/>
          <w:lang w:eastAsia="ru-RU"/>
        </w:rPr>
        <w:t xml:space="preserve">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Период выплаты пособия по безработице указанным гражданам не может превышать 24 месяца в суммарном исчислении в течение 36 месяцев.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 xml:space="preserve">Гражданам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указанным в </w:t>
      </w:r>
      <w:hyperlink r:id="rId11" w:anchor="P964" w:history="1">
        <w:r>
          <w:rPr>
            <w:rStyle w:val="a4"/>
            <w:rFonts w:ascii="Times New Roman" w:eastAsia="Times New Roman" w:hAnsi="Times New Roman" w:cs="Times New Roman"/>
            <w:sz w:val="28"/>
            <w:szCs w:val="28"/>
            <w:lang w:eastAsia="ru-RU"/>
          </w:rPr>
          <w:t>пунктах 1</w:t>
        </w:r>
      </w:hyperlink>
      <w:r>
        <w:rPr>
          <w:rFonts w:ascii="Times New Roman" w:eastAsia="Times New Roman" w:hAnsi="Times New Roman" w:cs="Times New Roman"/>
          <w:sz w:val="28"/>
          <w:szCs w:val="28"/>
          <w:lang w:eastAsia="ru-RU"/>
        </w:rPr>
        <w:t xml:space="preserve"> и </w:t>
      </w:r>
      <w:hyperlink r:id="rId12" w:anchor="P965" w:history="1">
        <w:r>
          <w:rPr>
            <w:rStyle w:val="a4"/>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 xml:space="preserve">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rPr>
          <w:rFonts w:ascii="Times New Roman" w:eastAsia="Times New Roman" w:hAnsi="Times New Roman" w:cs="Times New Roman"/>
          <w:sz w:val="28"/>
          <w:szCs w:val="28"/>
          <w:lang w:eastAsia="ru-RU"/>
        </w:rPr>
        <w:t xml:space="preserve">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w:t>
      </w:r>
      <w:hyperlink r:id="rId13" w:history="1">
        <w:r>
          <w:rPr>
            <w:rStyle w:val="a4"/>
            <w:rFonts w:ascii="Times New Roman" w:eastAsia="Times New Roman" w:hAnsi="Times New Roman" w:cs="Times New Roman"/>
            <w:sz w:val="28"/>
            <w:szCs w:val="28"/>
            <w:lang w:eastAsia="ru-RU"/>
          </w:rPr>
          <w:t>минимальной величины</w:t>
        </w:r>
      </w:hyperlink>
      <w:r>
        <w:rPr>
          <w:rFonts w:ascii="Times New Roman" w:eastAsia="Times New Roman" w:hAnsi="Times New Roman" w:cs="Times New Roman"/>
          <w:sz w:val="28"/>
          <w:szCs w:val="28"/>
          <w:lang w:eastAsia="ru-RU"/>
        </w:rPr>
        <w:t xml:space="preserve"> пособия по безработице, </w:t>
      </w:r>
      <w:proofErr w:type="gramStart"/>
      <w:r>
        <w:rPr>
          <w:rFonts w:ascii="Times New Roman" w:eastAsia="Times New Roman" w:hAnsi="Times New Roman" w:cs="Times New Roman"/>
          <w:sz w:val="28"/>
          <w:szCs w:val="28"/>
          <w:lang w:eastAsia="ru-RU"/>
        </w:rPr>
        <w:t>определенных</w:t>
      </w:r>
      <w:proofErr w:type="gramEnd"/>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lastRenderedPageBreak/>
        <w:t xml:space="preserve">соответствии с </w:t>
      </w:r>
      <w:hyperlink r:id="rId14" w:anchor="P969" w:history="1">
        <w:r>
          <w:rPr>
            <w:rStyle w:val="a4"/>
            <w:rFonts w:ascii="Times New Roman" w:eastAsia="Times New Roman" w:hAnsi="Times New Roman" w:cs="Times New Roman"/>
            <w:sz w:val="28"/>
            <w:szCs w:val="28"/>
            <w:lang w:eastAsia="ru-RU"/>
          </w:rPr>
          <w:t>пунктом 5</w:t>
        </w:r>
      </w:hyperlink>
      <w:r>
        <w:rPr>
          <w:rFonts w:ascii="Times New Roman" w:eastAsia="Times New Roman" w:hAnsi="Times New Roman" w:cs="Times New Roman"/>
          <w:sz w:val="28"/>
          <w:szCs w:val="28"/>
          <w:lang w:eastAsia="ru-RU"/>
        </w:rPr>
        <w:t xml:space="preserve"> настоящей статьи, увеличенных на размер </w:t>
      </w:r>
      <w:hyperlink r:id="rId15" w:history="1">
        <w:r>
          <w:rPr>
            <w:rStyle w:val="a4"/>
            <w:rFonts w:ascii="Times New Roman" w:eastAsia="Times New Roman" w:hAnsi="Times New Roman" w:cs="Times New Roman"/>
            <w:sz w:val="28"/>
            <w:szCs w:val="28"/>
            <w:lang w:eastAsia="ru-RU"/>
          </w:rPr>
          <w:t>районного коэффициента</w:t>
        </w:r>
      </w:hyperlink>
      <w:r>
        <w:rPr>
          <w:rFonts w:ascii="Times New Roman" w:eastAsia="Times New Roman" w:hAnsi="Times New Roman" w:cs="Times New Roman"/>
          <w:sz w:val="28"/>
          <w:szCs w:val="28"/>
          <w:lang w:eastAsia="ru-RU"/>
        </w:rPr>
        <w:t xml:space="preserve">.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Гражданам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указанным в </w:t>
      </w:r>
      <w:hyperlink r:id="rId16" w:anchor="P964" w:history="1">
        <w:r>
          <w:rPr>
            <w:rStyle w:val="a4"/>
            <w:rFonts w:ascii="Times New Roman" w:eastAsia="Times New Roman" w:hAnsi="Times New Roman" w:cs="Times New Roman"/>
            <w:sz w:val="28"/>
            <w:szCs w:val="28"/>
            <w:lang w:eastAsia="ru-RU"/>
          </w:rPr>
          <w:t>пунктах 1</w:t>
        </w:r>
      </w:hyperlink>
      <w:r>
        <w:rPr>
          <w:rFonts w:ascii="Times New Roman" w:eastAsia="Times New Roman" w:hAnsi="Times New Roman" w:cs="Times New Roman"/>
          <w:sz w:val="28"/>
          <w:szCs w:val="28"/>
          <w:lang w:eastAsia="ru-RU"/>
        </w:rPr>
        <w:t xml:space="preserve"> и </w:t>
      </w:r>
      <w:hyperlink r:id="rId17" w:anchor="P965" w:history="1">
        <w:r>
          <w:rPr>
            <w:rStyle w:val="a4"/>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 xml:space="preserve">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w:t>
      </w:r>
      <w:hyperlink r:id="rId18" w:history="1">
        <w:r>
          <w:rPr>
            <w:rStyle w:val="a4"/>
            <w:rFonts w:ascii="Times New Roman" w:eastAsia="Times New Roman" w:hAnsi="Times New Roman" w:cs="Times New Roman"/>
            <w:sz w:val="28"/>
            <w:szCs w:val="28"/>
            <w:lang w:eastAsia="ru-RU"/>
          </w:rPr>
          <w:t>минимальной величины</w:t>
        </w:r>
      </w:hyperlink>
      <w:r>
        <w:rPr>
          <w:rFonts w:ascii="Times New Roman" w:eastAsia="Times New Roman" w:hAnsi="Times New Roman" w:cs="Times New Roman"/>
          <w:sz w:val="28"/>
          <w:szCs w:val="28"/>
          <w:lang w:eastAsia="ru-RU"/>
        </w:rPr>
        <w:t xml:space="preserve"> пособия по безработице, определенной в соответствии с </w:t>
      </w:r>
      <w:hyperlink r:id="rId19" w:anchor="P969" w:history="1">
        <w:r>
          <w:rPr>
            <w:rStyle w:val="a4"/>
            <w:rFonts w:ascii="Times New Roman" w:eastAsia="Times New Roman" w:hAnsi="Times New Roman" w:cs="Times New Roman"/>
            <w:sz w:val="28"/>
            <w:szCs w:val="28"/>
            <w:lang w:eastAsia="ru-RU"/>
          </w:rPr>
          <w:t>пунктом 5</w:t>
        </w:r>
      </w:hyperlink>
      <w:r>
        <w:rPr>
          <w:rFonts w:ascii="Times New Roman" w:eastAsia="Times New Roman" w:hAnsi="Times New Roman" w:cs="Times New Roman"/>
          <w:sz w:val="28"/>
          <w:szCs w:val="28"/>
          <w:lang w:eastAsia="ru-RU"/>
        </w:rPr>
        <w:t xml:space="preserve"> настоящей статьи.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hyperlink r:id="rId20" w:history="1">
        <w:r>
          <w:rPr>
            <w:rStyle w:val="a4"/>
            <w:rFonts w:ascii="Times New Roman" w:eastAsia="Times New Roman" w:hAnsi="Times New Roman" w:cs="Times New Roman"/>
            <w:sz w:val="28"/>
            <w:szCs w:val="28"/>
            <w:lang w:eastAsia="ru-RU"/>
          </w:rPr>
          <w:t>Размеры</w:t>
        </w:r>
      </w:hyperlink>
      <w:r>
        <w:rPr>
          <w:rFonts w:ascii="Times New Roman" w:eastAsia="Times New Roman" w:hAnsi="Times New Roman" w:cs="Times New Roman"/>
          <w:sz w:val="28"/>
          <w:szCs w:val="28"/>
          <w:lang w:eastAsia="ru-RU"/>
        </w:rPr>
        <w:t xml:space="preserve"> минимальной и максимальной величин пособия по безработице для граждан, указанных в </w:t>
      </w:r>
      <w:hyperlink r:id="rId21" w:anchor="P964" w:history="1">
        <w:r>
          <w:rPr>
            <w:rStyle w:val="a4"/>
            <w:rFonts w:ascii="Times New Roman" w:eastAsia="Times New Roman" w:hAnsi="Times New Roman" w:cs="Times New Roman"/>
            <w:sz w:val="28"/>
            <w:szCs w:val="28"/>
            <w:lang w:eastAsia="ru-RU"/>
          </w:rPr>
          <w:t>пунктах 1</w:t>
        </w:r>
      </w:hyperlink>
      <w:r>
        <w:rPr>
          <w:rFonts w:ascii="Times New Roman" w:eastAsia="Times New Roman" w:hAnsi="Times New Roman" w:cs="Times New Roman"/>
          <w:sz w:val="28"/>
          <w:szCs w:val="28"/>
          <w:lang w:eastAsia="ru-RU"/>
        </w:rPr>
        <w:t xml:space="preserve"> и </w:t>
      </w:r>
      <w:hyperlink r:id="rId22" w:anchor="P965" w:history="1">
        <w:r>
          <w:rPr>
            <w:rStyle w:val="a4"/>
            <w:rFonts w:ascii="Times New Roman" w:eastAsia="Times New Roman" w:hAnsi="Times New Roman" w:cs="Times New Roman"/>
            <w:sz w:val="28"/>
            <w:szCs w:val="28"/>
            <w:lang w:eastAsia="ru-RU"/>
          </w:rPr>
          <w:t>2</w:t>
        </w:r>
      </w:hyperlink>
      <w:r>
        <w:rPr>
          <w:rFonts w:ascii="Times New Roman" w:eastAsia="Times New Roman" w:hAnsi="Times New Roman" w:cs="Times New Roman"/>
          <w:sz w:val="28"/>
          <w:szCs w:val="28"/>
          <w:lang w:eastAsia="ru-RU"/>
        </w:rPr>
        <w:t xml:space="preserve"> настоящей статьи, ежегодно определяются Правительством Российской Федерации. </w:t>
      </w:r>
    </w:p>
    <w:p w:rsidR="00B54080" w:rsidRDefault="00B54080" w:rsidP="00B5408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proofErr w:type="gramStart"/>
      <w:r>
        <w:rPr>
          <w:rFonts w:ascii="Times New Roman" w:eastAsia="Times New Roman" w:hAnsi="Times New Roman" w:cs="Times New Roman"/>
          <w:sz w:val="28"/>
          <w:szCs w:val="28"/>
          <w:lang w:eastAsia="ru-RU"/>
        </w:rPr>
        <w:t xml:space="preserve">Стипендия, выплачиваемая гражданам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w:t>
      </w:r>
      <w:hyperlink r:id="rId23" w:anchor="P852" w:history="1">
        <w:r>
          <w:rPr>
            <w:rStyle w:val="a4"/>
            <w:rFonts w:ascii="Times New Roman" w:eastAsia="Times New Roman" w:hAnsi="Times New Roman" w:cs="Times New Roman"/>
            <w:sz w:val="28"/>
            <w:szCs w:val="28"/>
            <w:lang w:eastAsia="ru-RU"/>
          </w:rPr>
          <w:t>статьей 29</w:t>
        </w:r>
      </w:hyperlink>
      <w:r>
        <w:rPr>
          <w:rFonts w:ascii="Times New Roman" w:eastAsia="Times New Roman" w:hAnsi="Times New Roman" w:cs="Times New Roman"/>
          <w:sz w:val="28"/>
          <w:szCs w:val="28"/>
          <w:lang w:eastAsia="ru-RU"/>
        </w:rPr>
        <w:t xml:space="preserve"> настоящего Закона, начисляется в размере не выше максимальной величины пособия по безработице и не ниже </w:t>
      </w:r>
      <w:hyperlink r:id="rId24" w:history="1">
        <w:r>
          <w:rPr>
            <w:rStyle w:val="a4"/>
            <w:rFonts w:ascii="Times New Roman" w:eastAsia="Times New Roman" w:hAnsi="Times New Roman" w:cs="Times New Roman"/>
            <w:sz w:val="28"/>
            <w:szCs w:val="28"/>
            <w:lang w:eastAsia="ru-RU"/>
          </w:rPr>
          <w:t>минимальной величины</w:t>
        </w:r>
      </w:hyperlink>
      <w:r>
        <w:rPr>
          <w:rFonts w:ascii="Times New Roman" w:eastAsia="Times New Roman" w:hAnsi="Times New Roman" w:cs="Times New Roman"/>
          <w:sz w:val="28"/>
          <w:szCs w:val="28"/>
          <w:lang w:eastAsia="ru-RU"/>
        </w:rPr>
        <w:t xml:space="preserve"> пособия по безработице, определенных в соответствии с </w:t>
      </w:r>
      <w:hyperlink r:id="rId25" w:anchor="P969" w:history="1">
        <w:r>
          <w:rPr>
            <w:rStyle w:val="a4"/>
            <w:rFonts w:ascii="Times New Roman" w:eastAsia="Times New Roman" w:hAnsi="Times New Roman" w:cs="Times New Roman"/>
            <w:sz w:val="28"/>
            <w:szCs w:val="28"/>
            <w:lang w:eastAsia="ru-RU"/>
          </w:rPr>
          <w:t>пунктом 5</w:t>
        </w:r>
      </w:hyperlink>
      <w:r>
        <w:rPr>
          <w:rFonts w:ascii="Times New Roman" w:eastAsia="Times New Roman" w:hAnsi="Times New Roman" w:cs="Times New Roman"/>
          <w:sz w:val="28"/>
          <w:szCs w:val="28"/>
          <w:lang w:eastAsia="ru-RU"/>
        </w:rPr>
        <w:t xml:space="preserve"> настоящей статьи, увеличенных на размер </w:t>
      </w:r>
      <w:hyperlink r:id="rId26" w:history="1">
        <w:r>
          <w:rPr>
            <w:rStyle w:val="a4"/>
            <w:rFonts w:ascii="Times New Roman" w:eastAsia="Times New Roman" w:hAnsi="Times New Roman" w:cs="Times New Roman"/>
            <w:sz w:val="28"/>
            <w:szCs w:val="28"/>
            <w:lang w:eastAsia="ru-RU"/>
          </w:rPr>
          <w:t>районного коэффициента</w:t>
        </w:r>
      </w:hyperlink>
      <w:r>
        <w:rPr>
          <w:rFonts w:ascii="Times New Roman" w:eastAsia="Times New Roman" w:hAnsi="Times New Roman" w:cs="Times New Roman"/>
          <w:sz w:val="28"/>
          <w:szCs w:val="28"/>
          <w:lang w:eastAsia="ru-RU"/>
        </w:rPr>
        <w:t xml:space="preserve">. </w:t>
      </w:r>
      <w:proofErr w:type="gramEnd"/>
    </w:p>
    <w:p w:rsidR="00B54080" w:rsidRDefault="00B54080" w:rsidP="00B54080">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B54080" w:rsidRDefault="00B54080" w:rsidP="00B5408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
    <w:sectPr w:rsidR="00B54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EA0"/>
    <w:multiLevelType w:val="multilevel"/>
    <w:tmpl w:val="4652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AD5EF7"/>
    <w:multiLevelType w:val="multilevel"/>
    <w:tmpl w:val="C7745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086051"/>
    <w:multiLevelType w:val="multilevel"/>
    <w:tmpl w:val="B7803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E23FD4"/>
    <w:multiLevelType w:val="multilevel"/>
    <w:tmpl w:val="CD303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D44CF5"/>
    <w:multiLevelType w:val="multilevel"/>
    <w:tmpl w:val="45206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E676CA8"/>
    <w:multiLevelType w:val="multilevel"/>
    <w:tmpl w:val="5E50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6416EC"/>
    <w:multiLevelType w:val="multilevel"/>
    <w:tmpl w:val="19E24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821F86"/>
    <w:multiLevelType w:val="multilevel"/>
    <w:tmpl w:val="FB860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0362B6"/>
    <w:multiLevelType w:val="multilevel"/>
    <w:tmpl w:val="61149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FAB4B51"/>
    <w:multiLevelType w:val="multilevel"/>
    <w:tmpl w:val="6EECE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4AD7633"/>
    <w:multiLevelType w:val="multilevel"/>
    <w:tmpl w:val="AB323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2A2B43"/>
    <w:multiLevelType w:val="multilevel"/>
    <w:tmpl w:val="D77A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6757EE"/>
    <w:multiLevelType w:val="multilevel"/>
    <w:tmpl w:val="3DF66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AD576D"/>
    <w:multiLevelType w:val="multilevel"/>
    <w:tmpl w:val="91BA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E505AAA"/>
    <w:multiLevelType w:val="multilevel"/>
    <w:tmpl w:val="C8480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AD0014"/>
    <w:multiLevelType w:val="multilevel"/>
    <w:tmpl w:val="5ABEB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10"/>
  </w:num>
  <w:num w:numId="4">
    <w:abstractNumId w:val="8"/>
  </w:num>
  <w:num w:numId="5">
    <w:abstractNumId w:val="1"/>
  </w:num>
  <w:num w:numId="6">
    <w:abstractNumId w:val="6"/>
  </w:num>
  <w:num w:numId="7">
    <w:abstractNumId w:val="9"/>
  </w:num>
  <w:num w:numId="8">
    <w:abstractNumId w:val="2"/>
  </w:num>
  <w:num w:numId="9">
    <w:abstractNumId w:val="5"/>
  </w:num>
  <w:num w:numId="10">
    <w:abstractNumId w:val="11"/>
  </w:num>
  <w:num w:numId="11">
    <w:abstractNumId w:val="13"/>
  </w:num>
  <w:num w:numId="12">
    <w:abstractNumId w:val="4"/>
  </w:num>
  <w:num w:numId="13">
    <w:abstractNumId w:val="3"/>
  </w:num>
  <w:num w:numId="14">
    <w:abstractNumId w:val="7"/>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2A"/>
    <w:rsid w:val="00002095"/>
    <w:rsid w:val="001E33EE"/>
    <w:rsid w:val="00994E5E"/>
    <w:rsid w:val="00B54080"/>
    <w:rsid w:val="00D11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80"/>
    <w:pPr>
      <w:spacing w:after="160" w:line="256" w:lineRule="auto"/>
    </w:pPr>
  </w:style>
  <w:style w:type="paragraph" w:styleId="1">
    <w:name w:val="heading 1"/>
    <w:basedOn w:val="a"/>
    <w:next w:val="a"/>
    <w:link w:val="10"/>
    <w:uiPriority w:val="9"/>
    <w:qFormat/>
    <w:rsid w:val="00B54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08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5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0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080"/>
    <w:pPr>
      <w:spacing w:after="160" w:line="256" w:lineRule="auto"/>
    </w:pPr>
  </w:style>
  <w:style w:type="paragraph" w:styleId="1">
    <w:name w:val="heading 1"/>
    <w:basedOn w:val="a"/>
    <w:next w:val="a"/>
    <w:link w:val="10"/>
    <w:uiPriority w:val="9"/>
    <w:qFormat/>
    <w:rsid w:val="00B54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08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54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4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A5DFCF8C309916B6C87F4597D9CCAD1607EEF967DE1F9CBD98778D3H3ODO" TargetMode="External"/><Relationship Id="rId13" Type="http://schemas.openxmlformats.org/officeDocument/2006/relationships/hyperlink" Target="consultantplus://offline/ref=FF8A5DFCF8C309916B6C87F4597D9CCAD3617AEF9274E1F9CBD98778D3H3ODO" TargetMode="External"/><Relationship Id="rId18" Type="http://schemas.openxmlformats.org/officeDocument/2006/relationships/hyperlink" Target="consultantplus://offline/ref=FF8A5DFCF8C309916B6C87F4597D9CCAD3617AEF9274E1F9CBD98778D3H3ODO" TargetMode="External"/><Relationship Id="rId26" Type="http://schemas.openxmlformats.org/officeDocument/2006/relationships/hyperlink" Target="consultantplus://offline/ref=FF8A5DFCF8C309916B6C87F4597D9CCAD36177E5917DE1F9CBD98778D3H3ODO" TargetMode="External"/><Relationship Id="rId3" Type="http://schemas.microsoft.com/office/2007/relationships/stylesWithEffects" Target="stylesWithEffects.xml"/><Relationship Id="rId21"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7"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12"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17"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5"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 Type="http://schemas.openxmlformats.org/officeDocument/2006/relationships/styles" Target="styles.xml"/><Relationship Id="rId16"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0" Type="http://schemas.openxmlformats.org/officeDocument/2006/relationships/hyperlink" Target="consultantplus://offline/ref=FF8A5DFCF8C309916B6C87F4597D9CCAD3617AEF9274E1F9CBD98778D3H3ODO" TargetMode="External"/><Relationship Id="rId1" Type="http://schemas.openxmlformats.org/officeDocument/2006/relationships/numbering" Target="numbering.xml"/><Relationship Id="rId6" Type="http://schemas.openxmlformats.org/officeDocument/2006/relationships/hyperlink" Target="consultantplus://offline/ref=FF8A5DFCF8C309916B6C87F4597D9CCAD16077EC927AE1F9CBD98778D33D85E2AC28898710484C3EH0O9O" TargetMode="External"/><Relationship Id="rId11"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4" Type="http://schemas.openxmlformats.org/officeDocument/2006/relationships/hyperlink" Target="consultantplus://offline/ref=FF8A5DFCF8C309916B6C87F4597D9CCAD3617AEF9274E1F9CBD98778D3H3ODO" TargetMode="External"/><Relationship Id="rId5" Type="http://schemas.openxmlformats.org/officeDocument/2006/relationships/webSettings" Target="webSettings.xml"/><Relationship Id="rId15" Type="http://schemas.openxmlformats.org/officeDocument/2006/relationships/hyperlink" Target="consultantplus://offline/ref=FF8A5DFCF8C309916B6C87F4597D9CCAD36177E5917DE1F9CBD98778D3H3ODO" TargetMode="External"/><Relationship Id="rId23"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8" Type="http://schemas.openxmlformats.org/officeDocument/2006/relationships/theme" Target="theme/theme1.xml"/><Relationship Id="rId10" Type="http://schemas.openxmlformats.org/officeDocument/2006/relationships/hyperlink" Target="consultantplus://offline/ref=FF8A5DFCF8C309916B6C87F4597D9CCAD1607EEF967DE1F9CBD98778D33D85E2AC28898710484C3CH0O5O" TargetMode="External"/><Relationship Id="rId19"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4" Type="http://schemas.openxmlformats.org/officeDocument/2006/relationships/settings" Target="settings.xml"/><Relationship Id="rId9" Type="http://schemas.openxmlformats.org/officeDocument/2006/relationships/hyperlink" Target="consultantplus://offline/ref=FF8A5DFCF8C309916B6C87F4597D9CCAD1607EEF967DE1F9CBD98778D33D85E2AC28898710484C3CH0O2O" TargetMode="External"/><Relationship Id="rId14"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2" Type="http://schemas.openxmlformats.org/officeDocument/2006/relationships/hyperlink" Target="https://deptrud.admhmao.ru/mery-podderzhki-grazhdan-predpensionnogo-vozrasta/zakonodatelstvo/2188614/statya-34-2-federalnogo-zakona-ot-19-04-1991-1032-1-o-zanyatosti-naseleniya-v-rossiyskoy-federatsi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k207</dc:creator>
  <cp:lastModifiedBy>Калугин Андрей Александрович</cp:lastModifiedBy>
  <cp:revision>2</cp:revision>
  <dcterms:created xsi:type="dcterms:W3CDTF">2019-03-22T06:52:00Z</dcterms:created>
  <dcterms:modified xsi:type="dcterms:W3CDTF">2019-03-22T06:52:00Z</dcterms:modified>
</cp:coreProperties>
</file>