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B3" w:rsidRDefault="00B903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03B3" w:rsidRDefault="00B903B3">
      <w:pPr>
        <w:pStyle w:val="ConsPlusNormal"/>
        <w:outlineLvl w:val="0"/>
      </w:pPr>
    </w:p>
    <w:p w:rsidR="00B903B3" w:rsidRDefault="00B903B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B903B3" w:rsidRDefault="00B903B3">
      <w:pPr>
        <w:pStyle w:val="ConsPlusTitle"/>
        <w:jc w:val="center"/>
      </w:pPr>
    </w:p>
    <w:p w:rsidR="00B903B3" w:rsidRDefault="00B903B3">
      <w:pPr>
        <w:pStyle w:val="ConsPlusTitle"/>
        <w:jc w:val="center"/>
      </w:pPr>
      <w:r>
        <w:t>ПОСТАНОВЛЕНИЕ</w:t>
      </w:r>
    </w:p>
    <w:p w:rsidR="00B903B3" w:rsidRDefault="00B903B3">
      <w:pPr>
        <w:pStyle w:val="ConsPlusTitle"/>
        <w:jc w:val="center"/>
      </w:pPr>
      <w:r>
        <w:t>от 20 января 2023 г. N 25-п</w:t>
      </w:r>
    </w:p>
    <w:p w:rsidR="00B903B3" w:rsidRDefault="00B903B3">
      <w:pPr>
        <w:pStyle w:val="ConsPlusTitle"/>
        <w:jc w:val="center"/>
      </w:pPr>
    </w:p>
    <w:p w:rsidR="00B903B3" w:rsidRDefault="00B903B3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B903B3" w:rsidRDefault="00B903B3">
      <w:pPr>
        <w:pStyle w:val="ConsPlusTitle"/>
        <w:jc w:val="center"/>
      </w:pPr>
      <w:r>
        <w:t>ХАНТЫ-МАНСИЙСКОГО АВТОНОМНОГО ОКРУГА - ЮГРЫ</w:t>
      </w:r>
    </w:p>
    <w:p w:rsidR="00B903B3" w:rsidRDefault="00B903B3">
      <w:pPr>
        <w:pStyle w:val="ConsPlusNormal"/>
        <w:jc w:val="center"/>
      </w:pPr>
    </w:p>
    <w:p w:rsidR="00B903B3" w:rsidRDefault="00B903B3">
      <w:pPr>
        <w:pStyle w:val="ConsPlusNormal"/>
        <w:ind w:firstLine="540"/>
        <w:jc w:val="both"/>
      </w:pPr>
      <w:r>
        <w:t xml:space="preserve">В соответствии с Законами Ханты-Мансийского автономного округа - Югры от 12 октября 2005 года </w:t>
      </w:r>
      <w:hyperlink r:id="rId5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от 25 февраля 2003 года </w:t>
      </w:r>
      <w:hyperlink r:id="rId6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учитывая решение Общественного совета при Департаменте экономического развития Ханты-Мансийского автономного округа - Югры (протокол заседания от 14 декабря 2022 года N 45), Правительство Ханты-Мансийского автономного округа - Югры постановляет: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16 мая 2014 года N 179-п "О внесении изменений в некоторые правовые акты Правительства Ханты-Мансийского автономного округа - Югры" изменение, признав </w:t>
      </w:r>
      <w:hyperlink r:id="rId8">
        <w:r>
          <w:rPr>
            <w:color w:val="0000FF"/>
          </w:rPr>
          <w:t>пункт 12</w:t>
        </w:r>
      </w:hyperlink>
      <w:r>
        <w:t xml:space="preserve"> утратившим силу.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488-п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долгосрочный период и контроля его реализации" следующие изменения: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>"2. Долгосрочный прогноз разрабатывает Департамент экономического развития автономного округа (далее - Депэкономики Югры) каждые шесть лет на двенадцать и более лет с учетом прогноза социально-экономического развития Российской Федерации на долгосрочный период, стратегии социально-экономического развития автономного округа, на основе данных, представляемых исполнительными органами автономного округа и хозяйствующими субъектами автономного округа (далее - другие участники стратегического планирования).".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2.2 </w:t>
      </w:r>
      <w:hyperlink r:id="rId11">
        <w:r>
          <w:rPr>
            <w:color w:val="0000FF"/>
          </w:rPr>
          <w:t>Пункты 7</w:t>
        </w:r>
      </w:hyperlink>
      <w:r>
        <w:t xml:space="preserve"> - </w:t>
      </w:r>
      <w:hyperlink r:id="rId12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>"7. Депэкономики Югры совместно с заинтересованными исполнительными органами автономного округа, участниками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формирования соответствующих разделов долгосрочного прогноза, подготовленных исполнительными органами автономного округа и другими участниками стратегического планирования с учетом сценарных условий и основных параметров долгосрочного прогноза Российской Федерации, одобренных Правительством Российской Федерации, разрабатывает долгосрочный прогноз.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>8. Исполнительные органы автономного округа представляют в Депэкономики Югры материалы для разработки долгосрочного прогноза по форме, предложенной Депэкономики Югры, в срок не позднее 60 дней до срока, установленного пунктом 12 Порядка.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>9. Депэкономики Югры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разработки соответствующих разделов долгосрочного прогноза, подготовленных исполнительными органами автономного округа и другими участниками стратегического планирования, разрабатывает долгосрочный прогноз.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>10. Депэкономики Югры направляет на рассмотрение и согласование заинтересованным исполнительным органам автономного округа долгосрочный прогноз не позднее 3 недель до дня внесения на утверждение (одобрение) долгосрочного прогноза в Правительство автономного округа.".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Абзац второй пункта 15</w:t>
        </w:r>
      </w:hyperlink>
      <w:r>
        <w:t xml:space="preserve"> изложить в следующей редакции: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lastRenderedPageBreak/>
        <w:t>"Мониторинг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исполнительными органами автономного округа в соответствии с их сферой деятельности, путем обобщения данных о социально-экономическом развитии автономного округа и оценки достижения показателей социально-экономического развития автономного округа в долгосрочном периоде, по итогам которого Депэкономики Югры ежегодно представляет в Правительство автономного округа и размещает на своем официальном сайте в информационно-телекоммуникационной сети Интернет:".</w:t>
      </w:r>
    </w:p>
    <w:p w:rsidR="00B903B3" w:rsidRDefault="00B903B3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30 декабря 2021 года N 633-п "О мерах по реализации государственной программы Ханты-Мансийского автономного округа - Югры "Развитие экономического потенциала" изменения, признав </w:t>
      </w:r>
      <w:hyperlink r:id="rId15">
        <w:r>
          <w:rPr>
            <w:color w:val="0000FF"/>
          </w:rPr>
          <w:t>подпункт 1.9 пункта 1</w:t>
        </w:r>
      </w:hyperlink>
      <w:r>
        <w:t xml:space="preserve">, </w:t>
      </w:r>
      <w:hyperlink r:id="rId16">
        <w:r>
          <w:rPr>
            <w:color w:val="0000FF"/>
          </w:rPr>
          <w:t>приложение 9</w:t>
        </w:r>
      </w:hyperlink>
      <w:r>
        <w:t xml:space="preserve"> утратившими силу.</w:t>
      </w:r>
    </w:p>
    <w:p w:rsidR="00B903B3" w:rsidRDefault="00B903B3">
      <w:pPr>
        <w:pStyle w:val="ConsPlusNormal"/>
        <w:ind w:firstLine="540"/>
        <w:jc w:val="both"/>
      </w:pPr>
    </w:p>
    <w:p w:rsidR="00B903B3" w:rsidRDefault="00B903B3">
      <w:pPr>
        <w:pStyle w:val="ConsPlusNormal"/>
        <w:jc w:val="right"/>
      </w:pPr>
      <w:r>
        <w:t>Губернатор</w:t>
      </w:r>
    </w:p>
    <w:p w:rsidR="00B903B3" w:rsidRDefault="00B903B3">
      <w:pPr>
        <w:pStyle w:val="ConsPlusNormal"/>
        <w:jc w:val="right"/>
      </w:pPr>
      <w:r>
        <w:t>Ханты-Мансийского</w:t>
      </w:r>
    </w:p>
    <w:p w:rsidR="00B903B3" w:rsidRDefault="00B903B3">
      <w:pPr>
        <w:pStyle w:val="ConsPlusNormal"/>
        <w:jc w:val="right"/>
      </w:pPr>
      <w:r>
        <w:t>автономного округа - Югры</w:t>
      </w:r>
    </w:p>
    <w:p w:rsidR="00B903B3" w:rsidRDefault="00B903B3">
      <w:pPr>
        <w:pStyle w:val="ConsPlusNormal"/>
        <w:jc w:val="right"/>
      </w:pPr>
      <w:r>
        <w:t>Н.В.КОМАРОВА</w:t>
      </w:r>
    </w:p>
    <w:p w:rsidR="00B903B3" w:rsidRDefault="00B903B3">
      <w:pPr>
        <w:pStyle w:val="ConsPlusNormal"/>
        <w:ind w:firstLine="540"/>
        <w:jc w:val="both"/>
      </w:pPr>
    </w:p>
    <w:p w:rsidR="00B903B3" w:rsidRDefault="00B903B3">
      <w:pPr>
        <w:pStyle w:val="ConsPlusNormal"/>
        <w:ind w:firstLine="540"/>
        <w:jc w:val="both"/>
      </w:pPr>
    </w:p>
    <w:p w:rsidR="00B903B3" w:rsidRDefault="00B903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000" w:rsidRDefault="00196000">
      <w:bookmarkStart w:id="0" w:name="_GoBack"/>
      <w:bookmarkEnd w:id="0"/>
    </w:p>
    <w:sectPr w:rsidR="00196000" w:rsidSect="001E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B3"/>
    <w:rsid w:val="00196000"/>
    <w:rsid w:val="00B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A537-CA98-4162-B06E-001C8CB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3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03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A5BCDF381186D1DF12A70B53FECBB42DB0C28ADD192F129F04CCA6EA865945FCD34ABE3CB2E96FCD51761019F0065628DF5E41B362D3EDE005616u8v1G" TargetMode="External"/><Relationship Id="rId13" Type="http://schemas.openxmlformats.org/officeDocument/2006/relationships/hyperlink" Target="consultantplus://offline/ref=E52A5BCDF381186D1DF12A70B53FECBB42DB0C28ADDF93FA28F24CCA6EA865945FCD34ABE3CB2E96FCD51760039F0065628DF5E41B362D3EDE005616u8v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A5BCDF381186D1DF12A70B53FECBB42DB0C28ADD192F129F04CCA6EA865945FCD34ABF1CB769AFEDD0963068A563424uDvBG" TargetMode="External"/><Relationship Id="rId12" Type="http://schemas.openxmlformats.org/officeDocument/2006/relationships/hyperlink" Target="consultantplus://offline/ref=E52A5BCDF381186D1DF12A70B53FECBB42DB0C28ADDF93FA28F24CCA6EA865945FCD34ABE3CB2E96FCD51761069F0065628DF5E41B362D3EDE005616u8v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A5BCDF381186D1DF12A70B53FECBB42DB0C28AED195F123F54CCA6EA865945FCD34ABE3CB2E96FCD51F64029F0065628DF5E41B362D3EDE005616u8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A5BCDF381186D1DF12A70B53FECBB42DB0C28AED392FD29F54CCA6EA865945FCD34ABF1CB769AFEDD0963068A563424uDvBG" TargetMode="External"/><Relationship Id="rId11" Type="http://schemas.openxmlformats.org/officeDocument/2006/relationships/hyperlink" Target="consultantplus://offline/ref=E52A5BCDF381186D1DF12A70B53FECBB42DB0C28ADDF93FA28F24CCA6EA865945FCD34ABE3CB2E96FCD51761039F0065628DF5E41B362D3EDE005616u8v1G" TargetMode="External"/><Relationship Id="rId5" Type="http://schemas.openxmlformats.org/officeDocument/2006/relationships/hyperlink" Target="consultantplus://offline/ref=E52A5BCDF381186D1DF12A70B53FECBB42DB0C28AED392FB25F34CCA6EA865945FCD34ABF1CB769AFEDD0963068A563424uDvBG" TargetMode="External"/><Relationship Id="rId15" Type="http://schemas.openxmlformats.org/officeDocument/2006/relationships/hyperlink" Target="consultantplus://offline/ref=E52A5BCDF381186D1DF12A70B53FECBB42DB0C28AED195F123F54CCA6EA865945FCD34ABE3CB2E96FCD51762049F0065628DF5E41B362D3EDE005616u8v1G" TargetMode="External"/><Relationship Id="rId10" Type="http://schemas.openxmlformats.org/officeDocument/2006/relationships/hyperlink" Target="consultantplus://offline/ref=E52A5BCDF381186D1DF12A70B53FECBB42DB0C28ADDF93FA28F24CCA6EA865945FCD34ABE3CB2E96FCD51762009F0065628DF5E41B362D3EDE005616u8v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2A5BCDF381186D1DF12A70B53FECBB42DB0C28ADDF93FA28F24CCA6EA865945FCD34ABE3CB2E96FCD51763089F0065628DF5E41B362D3EDE005616u8v1G" TargetMode="External"/><Relationship Id="rId14" Type="http://schemas.openxmlformats.org/officeDocument/2006/relationships/hyperlink" Target="consultantplus://offline/ref=E52A5BCDF381186D1DF12A70B53FECBB42DB0C28AED195F123F54CCA6EA865945FCD34ABF1CB769AFEDD0963068A563424uD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2023-06-28T06:47:00Z</dcterms:created>
  <dcterms:modified xsi:type="dcterms:W3CDTF">2023-06-28T06:48:00Z</dcterms:modified>
</cp:coreProperties>
</file>