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D3" w:rsidRPr="00FB36D3" w:rsidRDefault="00FB36D3" w:rsidP="00FB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FB36D3" w:rsidRDefault="00FB36D3" w:rsidP="00FB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экспертно-аналитического мероприятия </w:t>
      </w:r>
    </w:p>
    <w:p w:rsidR="0064387C" w:rsidRDefault="00FB36D3" w:rsidP="0061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«Экспертиза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</w:t>
      </w:r>
      <w:r w:rsidR="0064387C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Думы города Когалыма «О бюджете города Когалыма на 20</w:t>
      </w:r>
      <w:r w:rsidR="004B491B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12654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64387C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F4505A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на плановый период 20</w:t>
      </w:r>
      <w:r w:rsidR="004E3457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12654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4505A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</w:t>
      </w:r>
      <w:r w:rsidR="00355F83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12654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4505A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r w:rsidR="0064387C" w:rsidRPr="00B42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60371" w:rsidRPr="0064387C" w:rsidRDefault="00760371" w:rsidP="0061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87C" w:rsidRPr="0061018A" w:rsidRDefault="0064387C" w:rsidP="0013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6D3" w:rsidRDefault="00FB36D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6D3">
        <w:rPr>
          <w:rFonts w:ascii="Times New Roman" w:hAnsi="Times New Roman" w:cs="Times New Roman"/>
          <w:sz w:val="26"/>
          <w:szCs w:val="26"/>
        </w:rPr>
        <w:t>Экспертиза проекта решения Думы города Когалыма «О бюджете города Когалыма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B36D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B36D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B36D3">
        <w:rPr>
          <w:rFonts w:ascii="Times New Roman" w:hAnsi="Times New Roman" w:cs="Times New Roman"/>
          <w:sz w:val="26"/>
          <w:szCs w:val="26"/>
        </w:rPr>
        <w:t xml:space="preserve"> годов» (далее – проект решения о бюджете города) проведена Контрольно-счетной палатой в соответствии с бюджетными полномочиями, определенными статьей 157 Бюджетного кодекса Российской Федерации (далее – БК РФ), частью 2 статьи 9 Федерального закона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B36D3">
        <w:rPr>
          <w:rFonts w:ascii="Times New Roman" w:hAnsi="Times New Roman" w:cs="Times New Roman"/>
          <w:sz w:val="26"/>
          <w:szCs w:val="26"/>
        </w:rPr>
        <w:t xml:space="preserve">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пунктом 3.6 Положения об отдельных вопросах организации и осуществления бюджетного процесса в городе Когалыме, утвержденного решением Думы города Когалыма от 11.12.2007 № 197-ГД (далее – Положение о бюджетном процессе) и пунктом 7.1 П</w:t>
      </w:r>
      <w:r>
        <w:rPr>
          <w:rFonts w:ascii="Times New Roman" w:hAnsi="Times New Roman" w:cs="Times New Roman"/>
          <w:sz w:val="26"/>
          <w:szCs w:val="26"/>
        </w:rPr>
        <w:t>оложения о Контрольно-счетной палате</w:t>
      </w:r>
      <w:r w:rsidRPr="00FB36D3">
        <w:rPr>
          <w:rFonts w:ascii="Times New Roman" w:hAnsi="Times New Roman" w:cs="Times New Roman"/>
          <w:sz w:val="26"/>
          <w:szCs w:val="26"/>
        </w:rPr>
        <w:t xml:space="preserve"> города Когалыма, утвержденного решением Думы города Когалыма от 29.09.2011 № 76-ГД.</w:t>
      </w:r>
    </w:p>
    <w:p w:rsidR="00F409B0" w:rsidRDefault="00F409B0" w:rsidP="00F4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F183B">
        <w:rPr>
          <w:rFonts w:ascii="Times New Roman" w:hAnsi="Times New Roman" w:cs="Times New Roman"/>
          <w:sz w:val="26"/>
          <w:szCs w:val="26"/>
        </w:rPr>
        <w:t xml:space="preserve">ребования к </w:t>
      </w:r>
      <w:r w:rsidRPr="00F67E79">
        <w:rPr>
          <w:rFonts w:ascii="Times New Roman" w:hAnsi="Times New Roman" w:cs="Times New Roman"/>
          <w:sz w:val="26"/>
          <w:szCs w:val="26"/>
        </w:rPr>
        <w:t>составу показателей и текстовых статей</w:t>
      </w:r>
      <w:r w:rsidRPr="00C47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4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3457F">
        <w:rPr>
          <w:rFonts w:ascii="Times New Roman" w:hAnsi="Times New Roman" w:cs="Times New Roman"/>
          <w:sz w:val="26"/>
          <w:szCs w:val="26"/>
        </w:rPr>
        <w:t xml:space="preserve">роекте </w:t>
      </w:r>
      <w:r>
        <w:rPr>
          <w:rFonts w:ascii="Times New Roman" w:hAnsi="Times New Roman" w:cs="Times New Roman"/>
          <w:sz w:val="26"/>
          <w:szCs w:val="26"/>
        </w:rPr>
        <w:t xml:space="preserve">решения       о </w:t>
      </w:r>
      <w:r w:rsidRPr="0013457F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F183B">
        <w:rPr>
          <w:rFonts w:ascii="Times New Roman" w:hAnsi="Times New Roman" w:cs="Times New Roman"/>
          <w:sz w:val="26"/>
          <w:szCs w:val="26"/>
        </w:rPr>
        <w:t>,</w:t>
      </w:r>
      <w:r w:rsidRPr="0013457F">
        <w:rPr>
          <w:rFonts w:ascii="Times New Roman" w:hAnsi="Times New Roman" w:cs="Times New Roman"/>
          <w:sz w:val="26"/>
          <w:szCs w:val="26"/>
        </w:rPr>
        <w:t xml:space="preserve"> установленные ст</w:t>
      </w:r>
      <w:r>
        <w:rPr>
          <w:rFonts w:ascii="Times New Roman" w:hAnsi="Times New Roman" w:cs="Times New Roman"/>
          <w:sz w:val="26"/>
          <w:szCs w:val="26"/>
        </w:rPr>
        <w:t>атьей</w:t>
      </w:r>
      <w:r w:rsidRPr="0013457F">
        <w:rPr>
          <w:rFonts w:ascii="Times New Roman" w:hAnsi="Times New Roman" w:cs="Times New Roman"/>
          <w:sz w:val="26"/>
          <w:szCs w:val="26"/>
        </w:rPr>
        <w:t xml:space="preserve"> 184.1 БК РФ и п</w:t>
      </w:r>
      <w:r>
        <w:rPr>
          <w:rFonts w:ascii="Times New Roman" w:hAnsi="Times New Roman" w:cs="Times New Roman"/>
          <w:sz w:val="26"/>
          <w:szCs w:val="26"/>
        </w:rPr>
        <w:t>унктом</w:t>
      </w:r>
      <w:r w:rsidRPr="00134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Pr="00193D17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 бюджетном</w:t>
      </w:r>
      <w:r w:rsidRPr="00193D17">
        <w:rPr>
          <w:rFonts w:ascii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</w:rPr>
        <w:t>е, соблюдены.</w:t>
      </w:r>
    </w:p>
    <w:p w:rsidR="00F409B0" w:rsidRDefault="00F409B0" w:rsidP="00F4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D17">
        <w:rPr>
          <w:rFonts w:ascii="Times New Roman" w:hAnsi="Times New Roman" w:cs="Times New Roman"/>
          <w:sz w:val="26"/>
          <w:szCs w:val="26"/>
        </w:rPr>
        <w:t>Состав документов и материалов, представленных одновременно с проектом решения о бюджете</w:t>
      </w:r>
      <w:r w:rsidR="001F6945">
        <w:rPr>
          <w:rFonts w:ascii="Times New Roman" w:hAnsi="Times New Roman" w:cs="Times New Roman"/>
          <w:sz w:val="26"/>
          <w:szCs w:val="26"/>
        </w:rPr>
        <w:t xml:space="preserve"> </w:t>
      </w:r>
      <w:r w:rsidRPr="00193D17">
        <w:rPr>
          <w:rFonts w:ascii="Times New Roman" w:hAnsi="Times New Roman" w:cs="Times New Roman"/>
          <w:sz w:val="26"/>
          <w:szCs w:val="26"/>
        </w:rPr>
        <w:t xml:space="preserve">соответствует требованиям </w:t>
      </w:r>
      <w:r>
        <w:rPr>
          <w:rFonts w:ascii="Times New Roman" w:hAnsi="Times New Roman" w:cs="Times New Roman"/>
          <w:sz w:val="26"/>
          <w:szCs w:val="26"/>
        </w:rPr>
        <w:t>статьи 184.2 БК РФ и пункта 3.3</w:t>
      </w:r>
      <w:r w:rsidRPr="00807F51">
        <w:rPr>
          <w:rFonts w:ascii="Times New Roman" w:hAnsi="Times New Roman" w:cs="Times New Roman"/>
          <w:sz w:val="26"/>
          <w:szCs w:val="26"/>
        </w:rPr>
        <w:t xml:space="preserve"> </w:t>
      </w:r>
      <w:r w:rsidRPr="0013457F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2C00C0">
        <w:rPr>
          <w:rFonts w:ascii="Times New Roman" w:hAnsi="Times New Roman" w:cs="Times New Roman"/>
          <w:sz w:val="26"/>
          <w:szCs w:val="26"/>
        </w:rPr>
        <w:t>о бюджетном процессе</w:t>
      </w:r>
      <w:r w:rsidRPr="00193D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2036" w:rsidRDefault="009B0CF2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F2">
        <w:rPr>
          <w:rFonts w:ascii="Times New Roman" w:hAnsi="Times New Roman" w:cs="Times New Roman"/>
          <w:sz w:val="26"/>
          <w:szCs w:val="26"/>
        </w:rPr>
        <w:t>Представленный Проект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B0CF2">
        <w:rPr>
          <w:rFonts w:ascii="Times New Roman" w:hAnsi="Times New Roman" w:cs="Times New Roman"/>
          <w:sz w:val="26"/>
          <w:szCs w:val="26"/>
        </w:rPr>
        <w:t xml:space="preserve"> составлен на три года (очередной финансовый год и плановый период), что соответствует статье 169 БК РФ и </w:t>
      </w:r>
      <w:r>
        <w:rPr>
          <w:rFonts w:ascii="Times New Roman" w:hAnsi="Times New Roman" w:cs="Times New Roman"/>
          <w:sz w:val="26"/>
          <w:szCs w:val="26"/>
        </w:rPr>
        <w:t xml:space="preserve">пункту 1.6 </w:t>
      </w:r>
      <w:r w:rsidRPr="009B0CF2">
        <w:rPr>
          <w:rFonts w:ascii="Times New Roman" w:hAnsi="Times New Roman" w:cs="Times New Roman"/>
          <w:sz w:val="26"/>
          <w:szCs w:val="26"/>
        </w:rPr>
        <w:t>Положения о бюджетном процессе.</w:t>
      </w:r>
    </w:p>
    <w:p w:rsidR="00131FC4" w:rsidRPr="008A3CEB" w:rsidRDefault="00FB36D3" w:rsidP="0013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B36D3">
        <w:rPr>
          <w:rFonts w:ascii="Times New Roman" w:hAnsi="Times New Roman" w:cs="Times New Roman"/>
          <w:sz w:val="26"/>
          <w:szCs w:val="26"/>
        </w:rPr>
        <w:t>При подготовке заключения Контрольно-счетной палатой проведен анализ динамики основных характеристик бюджета города, проверено наличие и состояние нормативной и методической базы, регулирующей порядок формирования показателей бюджета. Выборочно проанализированы ожидаемые итоги социально-экономического развития муниципального образования город Когалым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36D3">
        <w:rPr>
          <w:rFonts w:ascii="Times New Roman" w:hAnsi="Times New Roman" w:cs="Times New Roman"/>
          <w:sz w:val="26"/>
          <w:szCs w:val="26"/>
        </w:rPr>
        <w:t xml:space="preserve"> год, проекты изменений в паспорта муниципальных программ. Проведена проверка согласованности показателей проекта бюджета между собой.</w:t>
      </w:r>
    </w:p>
    <w:p w:rsidR="008A3CEB" w:rsidRPr="004D69FF" w:rsidRDefault="008A3CEB" w:rsidP="008A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9FF">
        <w:rPr>
          <w:rFonts w:ascii="Times New Roman" w:hAnsi="Times New Roman" w:cs="Times New Roman"/>
          <w:sz w:val="26"/>
          <w:szCs w:val="26"/>
        </w:rPr>
        <w:t>Данные об основных параметрах бюджета город</w:t>
      </w:r>
      <w:r w:rsidR="001C671D" w:rsidRPr="004D69FF">
        <w:rPr>
          <w:rFonts w:ascii="Times New Roman" w:hAnsi="Times New Roman" w:cs="Times New Roman"/>
          <w:sz w:val="26"/>
          <w:szCs w:val="26"/>
        </w:rPr>
        <w:t>а Когалыма</w:t>
      </w:r>
      <w:r w:rsidRPr="004D69FF">
        <w:rPr>
          <w:rFonts w:ascii="Times New Roman" w:hAnsi="Times New Roman" w:cs="Times New Roman"/>
          <w:sz w:val="26"/>
          <w:szCs w:val="26"/>
        </w:rPr>
        <w:t xml:space="preserve"> на 202</w:t>
      </w:r>
      <w:r w:rsidR="00896C4A">
        <w:rPr>
          <w:rFonts w:ascii="Times New Roman" w:hAnsi="Times New Roman" w:cs="Times New Roman"/>
          <w:sz w:val="26"/>
          <w:szCs w:val="26"/>
        </w:rPr>
        <w:t>4</w:t>
      </w:r>
      <w:r w:rsidR="001C671D" w:rsidRPr="004D69FF">
        <w:rPr>
          <w:rFonts w:ascii="Times New Roman" w:hAnsi="Times New Roman" w:cs="Times New Roman"/>
          <w:sz w:val="26"/>
          <w:szCs w:val="26"/>
        </w:rPr>
        <w:t xml:space="preserve"> </w:t>
      </w:r>
      <w:r w:rsidRPr="004D69FF">
        <w:rPr>
          <w:rFonts w:ascii="Times New Roman" w:hAnsi="Times New Roman" w:cs="Times New Roman"/>
          <w:sz w:val="26"/>
          <w:szCs w:val="26"/>
        </w:rPr>
        <w:t>- 202</w:t>
      </w:r>
      <w:r w:rsidR="00896C4A">
        <w:rPr>
          <w:rFonts w:ascii="Times New Roman" w:hAnsi="Times New Roman" w:cs="Times New Roman"/>
          <w:sz w:val="26"/>
          <w:szCs w:val="26"/>
        </w:rPr>
        <w:t>6</w:t>
      </w:r>
      <w:r w:rsidRPr="004D69FF">
        <w:rPr>
          <w:rFonts w:ascii="Times New Roman" w:hAnsi="Times New Roman" w:cs="Times New Roman"/>
          <w:sz w:val="26"/>
          <w:szCs w:val="26"/>
        </w:rPr>
        <w:t xml:space="preserve"> годы</w:t>
      </w:r>
      <w:r w:rsidR="001C671D" w:rsidRPr="004D69FF">
        <w:rPr>
          <w:rFonts w:ascii="Times New Roman" w:hAnsi="Times New Roman" w:cs="Times New Roman"/>
          <w:sz w:val="26"/>
          <w:szCs w:val="26"/>
        </w:rPr>
        <w:t xml:space="preserve">, предлагаемые к утверждению Проектом решения о бюджете, </w:t>
      </w:r>
      <w:r w:rsidRPr="004D69FF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1C671D" w:rsidRPr="004D69FF">
        <w:rPr>
          <w:rFonts w:ascii="Times New Roman" w:hAnsi="Times New Roman" w:cs="Times New Roman"/>
          <w:sz w:val="26"/>
          <w:szCs w:val="26"/>
        </w:rPr>
        <w:t>в таблице:</w:t>
      </w:r>
    </w:p>
    <w:p w:rsidR="001C671D" w:rsidRPr="00885F5A" w:rsidRDefault="001C671D" w:rsidP="001C6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85F5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1276"/>
        <w:gridCol w:w="1275"/>
        <w:gridCol w:w="1276"/>
        <w:gridCol w:w="1276"/>
      </w:tblGrid>
      <w:tr w:rsidR="001C671D" w:rsidRPr="00B73313" w:rsidTr="002739BD">
        <w:trPr>
          <w:trHeight w:val="1030"/>
        </w:trPr>
        <w:tc>
          <w:tcPr>
            <w:tcW w:w="2835" w:type="dxa"/>
            <w:vAlign w:val="center"/>
          </w:tcPr>
          <w:p w:rsidR="001C671D" w:rsidRPr="002739BD" w:rsidRDefault="001C671D" w:rsidP="00BE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4D69FF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Align w:val="center"/>
          </w:tcPr>
          <w:p w:rsidR="001C671D" w:rsidRPr="00260930" w:rsidRDefault="008527A9" w:rsidP="0049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бюджет 202</w:t>
            </w:r>
            <w:r w:rsidR="00896C4A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="0049606A" w:rsidRPr="00496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 298-ГД)</w:t>
            </w:r>
          </w:p>
        </w:tc>
        <w:tc>
          <w:tcPr>
            <w:tcW w:w="1276" w:type="dxa"/>
            <w:vAlign w:val="center"/>
          </w:tcPr>
          <w:p w:rsidR="001C671D" w:rsidRPr="002739BD" w:rsidRDefault="001C671D" w:rsidP="008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896C4A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8527A9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(оценка – ожидаемое исполнение)</w:t>
            </w:r>
          </w:p>
        </w:tc>
        <w:tc>
          <w:tcPr>
            <w:tcW w:w="1275" w:type="dxa"/>
            <w:vAlign w:val="center"/>
          </w:tcPr>
          <w:p w:rsidR="001C671D" w:rsidRPr="002739BD" w:rsidRDefault="001C671D" w:rsidP="008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896C4A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8527A9" w:rsidRPr="002739BD">
              <w:t xml:space="preserve"> </w:t>
            </w:r>
            <w:r w:rsidR="008527A9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 Проект решения о бюджете)</w:t>
            </w:r>
          </w:p>
        </w:tc>
        <w:tc>
          <w:tcPr>
            <w:tcW w:w="1276" w:type="dxa"/>
            <w:vAlign w:val="center"/>
          </w:tcPr>
          <w:p w:rsidR="001C671D" w:rsidRPr="002739BD" w:rsidRDefault="001C671D" w:rsidP="008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896C4A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8527A9" w:rsidRPr="002739BD">
              <w:t xml:space="preserve"> </w:t>
            </w:r>
            <w:r w:rsidR="008527A9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 Проект решения о бюджете)</w:t>
            </w:r>
          </w:p>
        </w:tc>
        <w:tc>
          <w:tcPr>
            <w:tcW w:w="1276" w:type="dxa"/>
            <w:vAlign w:val="center"/>
          </w:tcPr>
          <w:p w:rsidR="001C671D" w:rsidRPr="002739BD" w:rsidRDefault="008527A9" w:rsidP="008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896C4A"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73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(прогноз Проект решения о бюджете)</w:t>
            </w:r>
          </w:p>
        </w:tc>
      </w:tr>
      <w:tr w:rsidR="001C671D" w:rsidRPr="00B73313" w:rsidTr="008E355D">
        <w:trPr>
          <w:trHeight w:val="317"/>
        </w:trPr>
        <w:tc>
          <w:tcPr>
            <w:tcW w:w="2835" w:type="dxa"/>
            <w:vAlign w:val="center"/>
          </w:tcPr>
          <w:p w:rsidR="001C671D" w:rsidRPr="008527A9" w:rsidRDefault="001C671D" w:rsidP="00852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</w:t>
            </w:r>
            <w:r w:rsidR="00273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</w:t>
            </w:r>
            <w:r w:rsidR="00273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2739BD" w:rsidRP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273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1C671D" w:rsidRPr="0049606A" w:rsidRDefault="00896C4A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7 715 818,1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715D4B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7 574 406,2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71D" w:rsidRPr="0049606A" w:rsidRDefault="004953CA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6 471 580,2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844A76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5 461 659,5</w:t>
            </w:r>
          </w:p>
        </w:tc>
        <w:tc>
          <w:tcPr>
            <w:tcW w:w="1276" w:type="dxa"/>
            <w:vAlign w:val="center"/>
          </w:tcPr>
          <w:p w:rsidR="001C671D" w:rsidRPr="0049606A" w:rsidRDefault="00844A76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5 492 179,9</w:t>
            </w:r>
          </w:p>
        </w:tc>
      </w:tr>
      <w:tr w:rsidR="008527A9" w:rsidRPr="00B73313" w:rsidTr="002739BD">
        <w:trPr>
          <w:trHeight w:val="368"/>
        </w:trPr>
        <w:tc>
          <w:tcPr>
            <w:tcW w:w="2835" w:type="dxa"/>
            <w:vAlign w:val="center"/>
          </w:tcPr>
          <w:p w:rsidR="008527A9" w:rsidRPr="008527A9" w:rsidRDefault="008527A9" w:rsidP="0085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8527A9" w:rsidRPr="0049606A" w:rsidRDefault="00896C4A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2 401 618,5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7A9" w:rsidRPr="0049606A" w:rsidRDefault="00715D4B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2 714 592,1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7A9" w:rsidRPr="0049606A" w:rsidRDefault="004953CA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2 478 585,0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7A9" w:rsidRPr="0049606A" w:rsidRDefault="00F412F1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2 525 897,6</w:t>
            </w:r>
          </w:p>
        </w:tc>
        <w:tc>
          <w:tcPr>
            <w:tcW w:w="1276" w:type="dxa"/>
            <w:vAlign w:val="center"/>
          </w:tcPr>
          <w:p w:rsidR="008527A9" w:rsidRPr="0049606A" w:rsidRDefault="00F412F1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2 608 739,8</w:t>
            </w:r>
          </w:p>
        </w:tc>
      </w:tr>
      <w:tr w:rsidR="001C671D" w:rsidRPr="00B73313" w:rsidTr="002739BD">
        <w:trPr>
          <w:trHeight w:val="338"/>
        </w:trPr>
        <w:tc>
          <w:tcPr>
            <w:tcW w:w="2835" w:type="dxa"/>
            <w:vAlign w:val="center"/>
          </w:tcPr>
          <w:p w:rsidR="001C671D" w:rsidRPr="008527A9" w:rsidRDefault="008527A9" w:rsidP="0085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1C671D" w:rsidRPr="0049606A" w:rsidRDefault="00896C4A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5 314 199,6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715D4B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4 859 814,1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71D" w:rsidRPr="0049606A" w:rsidRDefault="004953CA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3 992 995,2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F412F1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2 935 761,9</w:t>
            </w:r>
          </w:p>
        </w:tc>
        <w:tc>
          <w:tcPr>
            <w:tcW w:w="1276" w:type="dxa"/>
            <w:vAlign w:val="center"/>
          </w:tcPr>
          <w:p w:rsidR="001C671D" w:rsidRPr="0049606A" w:rsidRDefault="00F412F1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2 883 440,1</w:t>
            </w:r>
          </w:p>
        </w:tc>
      </w:tr>
      <w:tr w:rsidR="001C671D" w:rsidRPr="00B73313" w:rsidTr="002739BD">
        <w:trPr>
          <w:trHeight w:val="277"/>
        </w:trPr>
        <w:tc>
          <w:tcPr>
            <w:tcW w:w="2835" w:type="dxa"/>
            <w:vAlign w:val="center"/>
          </w:tcPr>
          <w:p w:rsidR="001C671D" w:rsidRPr="008527A9" w:rsidRDefault="001C671D" w:rsidP="00852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  <w:r w:rsid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418" w:type="dxa"/>
            <w:vAlign w:val="center"/>
          </w:tcPr>
          <w:p w:rsidR="001C671D" w:rsidRPr="0049606A" w:rsidRDefault="00896C4A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8 471 275,3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715D4B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7 456 839,7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71D" w:rsidRPr="0049606A" w:rsidRDefault="004953CA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6 649 159,8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844A76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5 663 228,5</w:t>
            </w:r>
          </w:p>
        </w:tc>
        <w:tc>
          <w:tcPr>
            <w:tcW w:w="1276" w:type="dxa"/>
            <w:vAlign w:val="center"/>
          </w:tcPr>
          <w:p w:rsidR="001C671D" w:rsidRPr="0049606A" w:rsidRDefault="00844A76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5 727 635,3</w:t>
            </w:r>
          </w:p>
        </w:tc>
      </w:tr>
      <w:tr w:rsidR="008527A9" w:rsidRPr="008527A9" w:rsidTr="002739BD">
        <w:trPr>
          <w:trHeight w:val="277"/>
        </w:trPr>
        <w:tc>
          <w:tcPr>
            <w:tcW w:w="2835" w:type="dxa"/>
            <w:vAlign w:val="center"/>
          </w:tcPr>
          <w:p w:rsidR="008527A9" w:rsidRPr="008527A9" w:rsidRDefault="008527A9" w:rsidP="0085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условно утвержденные</w:t>
            </w:r>
          </w:p>
        </w:tc>
        <w:tc>
          <w:tcPr>
            <w:tcW w:w="1418" w:type="dxa"/>
            <w:vAlign w:val="center"/>
          </w:tcPr>
          <w:p w:rsidR="008527A9" w:rsidRPr="0049606A" w:rsidRDefault="008527A9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7A9" w:rsidRPr="0049606A" w:rsidRDefault="008527A9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27A9" w:rsidRPr="0049606A" w:rsidRDefault="008527A9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7A9" w:rsidRPr="0049606A" w:rsidRDefault="00844A76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69FF" w:rsidRPr="0049606A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8527A9" w:rsidRPr="0049606A" w:rsidRDefault="004D69FF" w:rsidP="004960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4A76" w:rsidRPr="00496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606A">
              <w:rPr>
                <w:rFonts w:ascii="Times New Roman" w:hAnsi="Times New Roman" w:cs="Times New Roman"/>
                <w:sz w:val="20"/>
                <w:szCs w:val="20"/>
              </w:rPr>
              <w:t>0 000,0</w:t>
            </w:r>
          </w:p>
        </w:tc>
      </w:tr>
      <w:tr w:rsidR="001C671D" w:rsidRPr="00B73313" w:rsidTr="008E355D">
        <w:trPr>
          <w:trHeight w:val="356"/>
        </w:trPr>
        <w:tc>
          <w:tcPr>
            <w:tcW w:w="2835" w:type="dxa"/>
            <w:vAlign w:val="center"/>
          </w:tcPr>
          <w:p w:rsidR="008527A9" w:rsidRPr="008527A9" w:rsidRDefault="001C671D" w:rsidP="00852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  <w:r w:rsid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(-),</w:t>
            </w:r>
            <w:r w:rsidR="00175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2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418" w:type="dxa"/>
            <w:vAlign w:val="center"/>
          </w:tcPr>
          <w:p w:rsidR="001C671D" w:rsidRPr="0049606A" w:rsidRDefault="00D64154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96C4A"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755 457,2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057A96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15D4B"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117 566,5</w:t>
            </w: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71D" w:rsidRPr="0049606A" w:rsidRDefault="001C4EFB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53CA"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177 579,6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1D" w:rsidRPr="0049606A" w:rsidRDefault="001C4EFB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45D4"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201 569,0</w:t>
            </w:r>
          </w:p>
        </w:tc>
        <w:tc>
          <w:tcPr>
            <w:tcW w:w="1276" w:type="dxa"/>
            <w:vAlign w:val="center"/>
          </w:tcPr>
          <w:p w:rsidR="001C671D" w:rsidRPr="0049606A" w:rsidRDefault="001C4EFB" w:rsidP="004960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45D4" w:rsidRPr="00496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235 455,4</w:t>
            </w:r>
          </w:p>
        </w:tc>
      </w:tr>
    </w:tbl>
    <w:p w:rsidR="004D69FF" w:rsidRPr="009155D1" w:rsidRDefault="004D69FF" w:rsidP="008A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lightGray"/>
        </w:rPr>
      </w:pPr>
    </w:p>
    <w:p w:rsidR="003B4221" w:rsidRP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lastRenderedPageBreak/>
        <w:t>При планировании проекта бюджета города в качестве «базовых» по текущим расходам на 2024 - 2026 годы приняты бюджетные ассигнования, утвержденные решением Думы города Когалыма от 14.12.2022 №199-ГД «О бюджете города Когалыма на 2023 год и на плановый период 2024 и 2025 годов».</w:t>
      </w:r>
    </w:p>
    <w:p w:rsidR="003B4221" w:rsidRP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t>В объемах бюджетных ассигнований на 2024 год и на плановый период 2025 и 2026 годов учтены:</w:t>
      </w:r>
    </w:p>
    <w:p w:rsidR="003B4221" w:rsidRP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t xml:space="preserve">- изменение численности контингента обучающихся; </w:t>
      </w:r>
    </w:p>
    <w:p w:rsidR="003B4221" w:rsidRP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t>- индексация расходов на питание (в связи с удорожанием продуктов питания): обучающихся льготной категории с 01.09.2023 на 5%, с 01.01.2024 на 3,9%; учащихся начальных классов с 01.09.2023 на 5%, с 01.01.2024 на 3,6%; в пришкольных лагерях с 01.01.2024 на 3,3%;</w:t>
      </w:r>
    </w:p>
    <w:p w:rsidR="003B4221" w:rsidRP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t>- индексация с 1 октября 2023 года на 5,5%, с 1 октября 2024 года на 4,0% фонда оплаты труда работников органов местного самоуправления, муниципальных учреждений, не подпадающих под действие Указов Президента Российской Федерации от 2012 года. В расчете фонда оплаты труда по категориям работников, поименованных указами Президента Российской Федерации, учтено прогнозное значение показателя «среднемесячный доход от трудовой деятельности» в соответствии с доведенными отраслевыми департаментами Ханты-Мансийского автономного округа – Югры значениями на 2024 год;</w:t>
      </w:r>
    </w:p>
    <w:p w:rsidR="003B4221" w:rsidRP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t>- изменение налогооблагаемой базы по налогу на имущество;</w:t>
      </w:r>
    </w:p>
    <w:p w:rsidR="003B4221" w:rsidRDefault="003B4221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21">
        <w:rPr>
          <w:rFonts w:ascii="Times New Roman" w:hAnsi="Times New Roman" w:cs="Times New Roman"/>
          <w:sz w:val="26"/>
          <w:szCs w:val="26"/>
        </w:rPr>
        <w:t>-индексация тарифов на коммунальные услуги.</w:t>
      </w:r>
    </w:p>
    <w:p w:rsidR="008A3CEB" w:rsidRPr="00CF7296" w:rsidRDefault="008A3CEB" w:rsidP="003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29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4D69FF" w:rsidRPr="00CF7296">
        <w:rPr>
          <w:rFonts w:ascii="Times New Roman" w:hAnsi="Times New Roman" w:cs="Times New Roman"/>
          <w:sz w:val="26"/>
          <w:szCs w:val="26"/>
        </w:rPr>
        <w:t>р</w:t>
      </w:r>
      <w:r w:rsidRPr="00CF7296">
        <w:rPr>
          <w:rFonts w:ascii="Times New Roman" w:hAnsi="Times New Roman" w:cs="Times New Roman"/>
          <w:sz w:val="26"/>
          <w:szCs w:val="26"/>
        </w:rPr>
        <w:t>ешения о бюджете в целом сформирован в соответствии с БК РФ, группировка доходов, расходов и источников финансирования дефицита -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 (ст. 29 БК РФ)</w:t>
      </w:r>
      <w:r w:rsidR="00CF7296">
        <w:rPr>
          <w:rFonts w:ascii="Times New Roman" w:hAnsi="Times New Roman" w:cs="Times New Roman"/>
          <w:sz w:val="26"/>
          <w:szCs w:val="26"/>
        </w:rPr>
        <w:t xml:space="preserve"> и</w:t>
      </w:r>
      <w:r w:rsidR="00CF7296" w:rsidRPr="00CF7296">
        <w:rPr>
          <w:rFonts w:ascii="Times New Roman" w:hAnsi="Times New Roman" w:cs="Times New Roman"/>
          <w:sz w:val="26"/>
          <w:szCs w:val="26"/>
        </w:rPr>
        <w:t xml:space="preserve"> </w:t>
      </w:r>
      <w:r w:rsidR="00CF7296" w:rsidRPr="0013457F">
        <w:rPr>
          <w:rFonts w:ascii="Times New Roman" w:hAnsi="Times New Roman" w:cs="Times New Roman"/>
          <w:sz w:val="26"/>
          <w:szCs w:val="26"/>
        </w:rPr>
        <w:t>обеспечивает сопоставимость показателей бюджета с бюджетами других уровней.</w:t>
      </w:r>
    </w:p>
    <w:p w:rsidR="004E7E83" w:rsidRDefault="004E7E83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>При проверке согласованности показателей проекта бюджета между собой нарушений не установлено.</w:t>
      </w:r>
    </w:p>
    <w:p w:rsidR="003A324B" w:rsidRDefault="003A324B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355D" w:rsidRPr="003A324B" w:rsidRDefault="008E355D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324B" w:rsidRDefault="00C11379" w:rsidP="00C57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3A3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оходная</w:t>
      </w:r>
      <w:r w:rsidR="003A324B" w:rsidRPr="00C07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 бюджета города Когалыма</w:t>
      </w:r>
    </w:p>
    <w:p w:rsidR="00E04848" w:rsidRPr="00E04848" w:rsidRDefault="00E04848" w:rsidP="00C57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457F" w:rsidRPr="0013457F" w:rsidRDefault="002B53F7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3457F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ии со</w:t>
      </w:r>
      <w:r w:rsidRPr="0013457F">
        <w:rPr>
          <w:rFonts w:ascii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hAnsi="Times New Roman" w:cs="Times New Roman"/>
          <w:sz w:val="26"/>
          <w:szCs w:val="26"/>
        </w:rPr>
        <w:t>атьей</w:t>
      </w:r>
      <w:r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Pr="00492F0E">
        <w:rPr>
          <w:rFonts w:ascii="Times New Roman" w:hAnsi="Times New Roman" w:cs="Times New Roman"/>
          <w:sz w:val="26"/>
          <w:szCs w:val="26"/>
        </w:rPr>
        <w:t>174.1 БК РФ д</w:t>
      </w:r>
      <w:r w:rsidR="0013457F" w:rsidRPr="00492F0E">
        <w:rPr>
          <w:rFonts w:ascii="Times New Roman" w:hAnsi="Times New Roman" w:cs="Times New Roman"/>
          <w:sz w:val="26"/>
          <w:szCs w:val="26"/>
        </w:rPr>
        <w:t>оходы бюджета</w:t>
      </w:r>
      <w:r w:rsidR="00192F23" w:rsidRPr="00492F0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3457F" w:rsidRPr="00492F0E">
        <w:rPr>
          <w:rFonts w:ascii="Times New Roman" w:hAnsi="Times New Roman" w:cs="Times New Roman"/>
          <w:sz w:val="26"/>
          <w:szCs w:val="26"/>
        </w:rPr>
        <w:t xml:space="preserve"> </w:t>
      </w:r>
      <w:r w:rsidR="00192F23" w:rsidRPr="00492F0E">
        <w:rPr>
          <w:rFonts w:ascii="Times New Roman" w:hAnsi="Times New Roman" w:cs="Times New Roman"/>
          <w:sz w:val="26"/>
          <w:szCs w:val="26"/>
        </w:rPr>
        <w:t>на 20</w:t>
      </w:r>
      <w:r w:rsidR="00E63CBF" w:rsidRPr="00492F0E">
        <w:rPr>
          <w:rFonts w:ascii="Times New Roman" w:hAnsi="Times New Roman" w:cs="Times New Roman"/>
          <w:sz w:val="26"/>
          <w:szCs w:val="26"/>
        </w:rPr>
        <w:t>2</w:t>
      </w:r>
      <w:r w:rsidR="00FF5B9C">
        <w:rPr>
          <w:rFonts w:ascii="Times New Roman" w:hAnsi="Times New Roman" w:cs="Times New Roman"/>
          <w:sz w:val="26"/>
          <w:szCs w:val="26"/>
        </w:rPr>
        <w:t>4</w:t>
      </w:r>
      <w:r w:rsidR="00192F23" w:rsidRPr="00492F0E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27B2D" w:rsidRPr="00492F0E">
        <w:rPr>
          <w:rFonts w:ascii="Times New Roman" w:hAnsi="Times New Roman" w:cs="Times New Roman"/>
          <w:sz w:val="26"/>
          <w:szCs w:val="26"/>
        </w:rPr>
        <w:t xml:space="preserve">на </w:t>
      </w:r>
      <w:r w:rsidR="00192F23" w:rsidRPr="00492F0E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BE5CD6" w:rsidRPr="00492F0E">
        <w:rPr>
          <w:rFonts w:ascii="Times New Roman" w:hAnsi="Times New Roman" w:cs="Times New Roman"/>
          <w:sz w:val="26"/>
          <w:szCs w:val="26"/>
        </w:rPr>
        <w:t>2</w:t>
      </w:r>
      <w:r w:rsidR="00FF5B9C">
        <w:rPr>
          <w:rFonts w:ascii="Times New Roman" w:hAnsi="Times New Roman" w:cs="Times New Roman"/>
          <w:sz w:val="26"/>
          <w:szCs w:val="26"/>
        </w:rPr>
        <w:t>5</w:t>
      </w:r>
      <w:r w:rsidR="00B27B2D" w:rsidRPr="00492F0E">
        <w:rPr>
          <w:rFonts w:ascii="Times New Roman" w:hAnsi="Times New Roman" w:cs="Times New Roman"/>
          <w:sz w:val="26"/>
          <w:szCs w:val="26"/>
        </w:rPr>
        <w:t xml:space="preserve"> и </w:t>
      </w:r>
      <w:r w:rsidR="00192F23" w:rsidRPr="00492F0E">
        <w:rPr>
          <w:rFonts w:ascii="Times New Roman" w:hAnsi="Times New Roman" w:cs="Times New Roman"/>
          <w:sz w:val="26"/>
          <w:szCs w:val="26"/>
        </w:rPr>
        <w:t>20</w:t>
      </w:r>
      <w:r w:rsidR="00B27B2D" w:rsidRPr="00492F0E">
        <w:rPr>
          <w:rFonts w:ascii="Times New Roman" w:hAnsi="Times New Roman" w:cs="Times New Roman"/>
          <w:sz w:val="26"/>
          <w:szCs w:val="26"/>
        </w:rPr>
        <w:t>2</w:t>
      </w:r>
      <w:r w:rsidR="00FF5B9C">
        <w:rPr>
          <w:rFonts w:ascii="Times New Roman" w:hAnsi="Times New Roman" w:cs="Times New Roman"/>
          <w:sz w:val="26"/>
          <w:szCs w:val="26"/>
        </w:rPr>
        <w:t>6</w:t>
      </w:r>
      <w:r w:rsidR="00192F23" w:rsidRPr="00492F0E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13457F" w:rsidRPr="00492F0E">
        <w:rPr>
          <w:rFonts w:ascii="Times New Roman" w:hAnsi="Times New Roman" w:cs="Times New Roman"/>
          <w:sz w:val="26"/>
          <w:szCs w:val="26"/>
        </w:rPr>
        <w:t xml:space="preserve">спрогнозированы на основе </w:t>
      </w:r>
      <w:r w:rsidR="00464EC8" w:rsidRPr="00492F0E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</w:t>
      </w:r>
      <w:r w:rsidR="00464EC8" w:rsidRPr="00464EC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192F23">
        <w:rPr>
          <w:rFonts w:ascii="Times New Roman" w:hAnsi="Times New Roman" w:cs="Times New Roman"/>
          <w:sz w:val="26"/>
          <w:szCs w:val="26"/>
        </w:rPr>
        <w:t>,</w:t>
      </w:r>
      <w:r w:rsidR="00464EC8" w:rsidRPr="00464EC8">
        <w:rPr>
          <w:rFonts w:ascii="Times New Roman" w:hAnsi="Times New Roman" w:cs="Times New Roman"/>
          <w:sz w:val="26"/>
          <w:szCs w:val="26"/>
        </w:rPr>
        <w:t xml:space="preserve"> 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в условиях </w:t>
      </w:r>
      <w:r w:rsidR="00690D96">
        <w:rPr>
          <w:rFonts w:ascii="Times New Roman" w:hAnsi="Times New Roman" w:cs="Times New Roman"/>
          <w:sz w:val="26"/>
          <w:szCs w:val="26"/>
        </w:rPr>
        <w:t>принятого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на день внесения проекта решения о бюджете в Думу </w:t>
      </w:r>
      <w:r w:rsidR="00464E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690D96" w:rsidRPr="00690D96">
        <w:rPr>
          <w:rFonts w:ascii="Times New Roman" w:hAnsi="Times New Roman" w:cs="Times New Roman"/>
          <w:sz w:val="26"/>
          <w:szCs w:val="26"/>
        </w:rPr>
        <w:t>и вступающего в силу в очередном финансовом году и плановом периоде</w:t>
      </w:r>
      <w:r w:rsidR="00690D96">
        <w:rPr>
          <w:rFonts w:ascii="Times New Roman" w:hAnsi="Times New Roman" w:cs="Times New Roman"/>
          <w:sz w:val="26"/>
          <w:szCs w:val="26"/>
        </w:rPr>
        <w:t xml:space="preserve"> 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законодательства о налогах и сборах и бюджетного законодательства Российской Федерации, а также законов </w:t>
      </w:r>
      <w:r w:rsidR="00464EC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и муниципальных правовых актов </w:t>
      </w:r>
      <w:r w:rsidR="00E07632">
        <w:rPr>
          <w:rFonts w:ascii="Times New Roman" w:hAnsi="Times New Roman" w:cs="Times New Roman"/>
          <w:sz w:val="26"/>
          <w:szCs w:val="26"/>
        </w:rPr>
        <w:t xml:space="preserve">Думы </w:t>
      </w:r>
      <w:r w:rsidR="0013457F" w:rsidRPr="0013457F">
        <w:rPr>
          <w:rFonts w:ascii="Times New Roman" w:hAnsi="Times New Roman" w:cs="Times New Roman"/>
          <w:sz w:val="26"/>
          <w:szCs w:val="26"/>
        </w:rPr>
        <w:t>город</w:t>
      </w:r>
      <w:r w:rsidR="00464EC8">
        <w:rPr>
          <w:rFonts w:ascii="Times New Roman" w:hAnsi="Times New Roman" w:cs="Times New Roman"/>
          <w:sz w:val="26"/>
          <w:szCs w:val="26"/>
        </w:rPr>
        <w:t>а Когалыма</w:t>
      </w:r>
      <w:r w:rsidR="00690D96" w:rsidRPr="00690D96">
        <w:rPr>
          <w:rFonts w:ascii="Times New Roman" w:hAnsi="Times New Roman" w:cs="Times New Roman"/>
          <w:sz w:val="26"/>
          <w:szCs w:val="26"/>
        </w:rPr>
        <w:t>, устанавливающих неналоговые доходы бюджетов бюджетн</w:t>
      </w:r>
      <w:r w:rsidR="00690D96">
        <w:rPr>
          <w:rFonts w:ascii="Times New Roman" w:hAnsi="Times New Roman" w:cs="Times New Roman"/>
          <w:sz w:val="26"/>
          <w:szCs w:val="26"/>
        </w:rPr>
        <w:t>ой системы Российской Федерации</w:t>
      </w:r>
      <w:r w:rsidR="0013457F" w:rsidRPr="0013457F">
        <w:rPr>
          <w:rFonts w:ascii="Times New Roman" w:hAnsi="Times New Roman" w:cs="Times New Roman"/>
          <w:sz w:val="26"/>
          <w:szCs w:val="26"/>
        </w:rPr>
        <w:t>.</w:t>
      </w:r>
    </w:p>
    <w:p w:rsidR="00BC7B2B" w:rsidRDefault="00BC7B2B" w:rsidP="00D22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7B2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составе материалов и документов к Проекту решения о бюджете представлен </w:t>
      </w:r>
      <w:r w:rsidR="0042173A" w:rsidRPr="0042173A">
        <w:rPr>
          <w:rFonts w:ascii="Times New Roman" w:eastAsia="Times New Roman" w:hAnsi="Times New Roman" w:cs="Arial"/>
          <w:sz w:val="26"/>
          <w:szCs w:val="26"/>
          <w:lang w:eastAsia="ru-RU"/>
        </w:rPr>
        <w:t>Реестр источников доходов бюджета муниципального образования городской округ город Когалым</w:t>
      </w:r>
      <w:r w:rsidR="004217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C7B2B">
        <w:rPr>
          <w:rFonts w:ascii="Times New Roman" w:eastAsia="Times New Roman" w:hAnsi="Times New Roman" w:cs="Arial"/>
          <w:sz w:val="26"/>
          <w:szCs w:val="26"/>
          <w:lang w:eastAsia="ru-RU"/>
        </w:rPr>
        <w:t>на 202</w:t>
      </w:r>
      <w:r w:rsidR="00FF5B9C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Pr="00BC7B2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и на плановый период 202</w:t>
      </w:r>
      <w:r w:rsidR="00FF5B9C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BC7B2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202</w:t>
      </w:r>
      <w:r w:rsidR="00FF5B9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4217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годов.</w:t>
      </w:r>
    </w:p>
    <w:p w:rsidR="00C078CB" w:rsidRPr="00C078CB" w:rsidRDefault="002B53F7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оходы бюджета города </w:t>
      </w:r>
      <w:r w:rsidR="006D3241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2959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51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3241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375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</w:t>
      </w:r>
      <w:r w:rsidR="00E37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ованы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="00A83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DB51E9" w:rsidRPr="00DB51E9">
        <w:rPr>
          <w:rFonts w:ascii="Times New Roman" w:eastAsia="Times New Roman" w:hAnsi="Times New Roman" w:cs="Times New Roman"/>
          <w:sz w:val="26"/>
          <w:szCs w:val="26"/>
          <w:lang w:eastAsia="ru-RU"/>
        </w:rPr>
        <w:t>6 471 580,2</w:t>
      </w:r>
      <w:r w:rsidR="00D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что на </w:t>
      </w:r>
      <w:r w:rsidR="00DB51E9">
        <w:rPr>
          <w:rFonts w:ascii="Times New Roman" w:eastAsia="Times New Roman" w:hAnsi="Times New Roman" w:cs="Times New Roman"/>
          <w:sz w:val="26"/>
          <w:szCs w:val="26"/>
          <w:lang w:eastAsia="ru-RU"/>
        </w:rPr>
        <w:t>16,1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или на </w:t>
      </w:r>
      <w:r w:rsid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>1 244 237,9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</w:t>
      </w:r>
      <w:r w:rsidR="0010712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бюджетом 20</w:t>
      </w:r>
      <w:r w:rsidR="001860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</w:t>
      </w:r>
      <w:r w:rsidR="000F54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</w:t>
      </w:r>
      <w:r w:rsidR="006D3241" w:rsidRPr="006D3241">
        <w:t xml:space="preserve"> </w:t>
      </w:r>
      <w:r w:rsidR="009B37B2" w:rsidRP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14.12.2022 </w:t>
      </w:r>
      <w:r w:rsidR="009B37B2" w:rsidRP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№199-ГД «О бюджете города Когалыма на 2023 год и на плановый период 2024 и 2025 годов»</w:t>
      </w:r>
      <w:r w:rsidR="0010712C" w:rsidRPr="0010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CEB" w:rsidRPr="00AA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</w:t>
      </w:r>
      <w:r w:rsidR="00AA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A1CEB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="00BF63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860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A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B37B2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="00AA1CEB" w:rsidRPr="00AA1CE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8A25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5DA" w:rsidRDefault="008A25DA" w:rsidP="00C5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доходы спрогнозированы в следующих размерах:</w:t>
      </w:r>
    </w:p>
    <w:p w:rsidR="001B1E55" w:rsidRPr="001B1E55" w:rsidRDefault="001B1E55" w:rsidP="00C5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96E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85D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F96E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DA" w:rsidRPr="00785DDA">
        <w:rPr>
          <w:rFonts w:ascii="Times New Roman" w:eastAsia="Times New Roman" w:hAnsi="Times New Roman" w:cs="Times New Roman"/>
          <w:sz w:val="26"/>
          <w:szCs w:val="26"/>
          <w:lang w:eastAsia="ru-RU"/>
        </w:rPr>
        <w:t>5 461 659,5</w:t>
      </w:r>
      <w:r w:rsidR="0089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что </w:t>
      </w:r>
      <w:r w:rsidR="00AE7AE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</w:t>
      </w:r>
      <w:r w:rsidR="00F96E38"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20</w:t>
      </w:r>
      <w:r w:rsidR="00F96E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D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 w:rsidR="006607E5">
        <w:rPr>
          <w:rFonts w:ascii="Times New Roman" w:eastAsia="Times New Roman" w:hAnsi="Times New Roman" w:cs="Times New Roman"/>
          <w:sz w:val="26"/>
          <w:szCs w:val="26"/>
          <w:lang w:eastAsia="ru-RU"/>
        </w:rPr>
        <w:t>15,6</w:t>
      </w:r>
      <w:r w:rsidR="00785DDA"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</w:t>
      </w:r>
      <w:r w:rsidR="0078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7E5">
        <w:rPr>
          <w:rFonts w:ascii="Times New Roman" w:eastAsia="Times New Roman" w:hAnsi="Times New Roman" w:cs="Times New Roman"/>
          <w:sz w:val="26"/>
          <w:szCs w:val="26"/>
          <w:lang w:eastAsia="ru-RU"/>
        </w:rPr>
        <w:t>1 009 920,7</w:t>
      </w:r>
      <w:r w:rsidR="00785DDA"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1E55" w:rsidRDefault="001B1E55" w:rsidP="00C5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25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85D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56F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FAC" w:rsidRP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>5 492 179,9</w:t>
      </w:r>
      <w:r w:rsidR="00897C0E" w:rsidRPr="0089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ростом к</w:t>
      </w:r>
      <w:r w:rsidR="00F96E38"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</w:t>
      </w:r>
      <w:r w:rsid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B1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852FAC" w:rsidRP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52FAC" w:rsidRP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,6% или на </w:t>
      </w:r>
      <w:r w:rsid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>30 520,4</w:t>
      </w:r>
      <w:r w:rsidR="00852FAC" w:rsidRPr="0085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25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0453" w:rsidRDefault="000C0453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>Налоговые и неналоговые доходы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13457F">
        <w:rPr>
          <w:rFonts w:ascii="Times New Roman" w:hAnsi="Times New Roman" w:cs="Times New Roman"/>
          <w:sz w:val="26"/>
          <w:szCs w:val="26"/>
        </w:rPr>
        <w:t xml:space="preserve"> сформированы в соответствии со статьями </w:t>
      </w:r>
      <w:r w:rsidRPr="005F29B3">
        <w:rPr>
          <w:rFonts w:ascii="Times New Roman" w:hAnsi="Times New Roman" w:cs="Times New Roman"/>
          <w:sz w:val="26"/>
          <w:szCs w:val="26"/>
        </w:rPr>
        <w:t>20, 41, 42, 46, 61.2, 62 Б</w:t>
      </w:r>
      <w:r w:rsidR="00975936">
        <w:rPr>
          <w:rFonts w:ascii="Times New Roman" w:hAnsi="Times New Roman" w:cs="Times New Roman"/>
          <w:sz w:val="26"/>
          <w:szCs w:val="26"/>
        </w:rPr>
        <w:t>К РФ</w:t>
      </w:r>
      <w:r w:rsidRPr="005F29B3">
        <w:rPr>
          <w:rFonts w:ascii="Times New Roman" w:hAnsi="Times New Roman" w:cs="Times New Roman"/>
          <w:sz w:val="26"/>
          <w:szCs w:val="26"/>
        </w:rPr>
        <w:t>.</w:t>
      </w:r>
    </w:p>
    <w:p w:rsidR="00984BF8" w:rsidRDefault="00984BF8" w:rsidP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 налоговых и неналоговых доходов в 202</w:t>
      </w:r>
      <w:r w:rsidR="000846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846A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годах представлена в таблице:</w:t>
      </w:r>
    </w:p>
    <w:p w:rsidR="00984BF8" w:rsidRPr="00984BF8" w:rsidRDefault="00984BF8" w:rsidP="00984B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84BF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097"/>
        <w:gridCol w:w="1275"/>
        <w:gridCol w:w="1134"/>
        <w:gridCol w:w="851"/>
        <w:gridCol w:w="1134"/>
        <w:gridCol w:w="634"/>
        <w:gridCol w:w="1071"/>
        <w:gridCol w:w="703"/>
      </w:tblGrid>
      <w:tr w:rsidR="00E2223B" w:rsidRPr="00FB2B3E" w:rsidTr="008E355D">
        <w:trPr>
          <w:trHeight w:val="741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260706" w:rsidRPr="00FB2B3E" w:rsidRDefault="00260706" w:rsidP="00260706">
            <w:pPr>
              <w:spacing w:after="0" w:line="240" w:lineRule="auto"/>
              <w:ind w:left="-29" w:right="-15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60706" w:rsidRPr="00FB2B3E" w:rsidRDefault="00260706" w:rsidP="0026070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60706" w:rsidRPr="00536EA3" w:rsidRDefault="00260706" w:rsidP="00E2223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F75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536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утверждено </w:t>
            </w:r>
          </w:p>
          <w:p w:rsidR="00260706" w:rsidRPr="00536EA3" w:rsidRDefault="00260706" w:rsidP="00F754CE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ред.</w:t>
            </w:r>
            <w:r w:rsidR="00F75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298</w:t>
            </w:r>
            <w:r w:rsidRPr="00536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-ГД)</w:t>
            </w:r>
          </w:p>
        </w:tc>
        <w:tc>
          <w:tcPr>
            <w:tcW w:w="1134" w:type="dxa"/>
            <w:vAlign w:val="center"/>
          </w:tcPr>
          <w:p w:rsidR="00260706" w:rsidRPr="00536EA3" w:rsidRDefault="00260706" w:rsidP="00F754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754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60706" w:rsidRPr="00536EA3" w:rsidRDefault="00260706" w:rsidP="00F754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>% к 202</w:t>
            </w:r>
            <w:r w:rsidR="00F754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260706" w:rsidRPr="00536EA3" w:rsidRDefault="00260706" w:rsidP="00F754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754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34" w:type="dxa"/>
            <w:vAlign w:val="center"/>
          </w:tcPr>
          <w:p w:rsidR="00260706" w:rsidRPr="00536EA3" w:rsidRDefault="00260706" w:rsidP="00F754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>% к 202</w:t>
            </w:r>
            <w:r w:rsidR="00F754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71" w:type="dxa"/>
            <w:vAlign w:val="center"/>
          </w:tcPr>
          <w:p w:rsidR="00260706" w:rsidRPr="00536EA3" w:rsidRDefault="00260706" w:rsidP="00F754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754C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3" w:type="dxa"/>
            <w:vAlign w:val="center"/>
          </w:tcPr>
          <w:p w:rsidR="00260706" w:rsidRPr="00536EA3" w:rsidRDefault="00260706" w:rsidP="00F754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>% к 202</w:t>
            </w:r>
            <w:r w:rsidR="00F754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36E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</w:tr>
      <w:tr w:rsidR="00F754CE" w:rsidRPr="00FB2B3E" w:rsidTr="008E355D">
        <w:trPr>
          <w:trHeight w:val="4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</w:t>
            </w:r>
            <w:r w:rsidRPr="00FB2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ind w:left="-61" w:right="-54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2 139 048,2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2 224 365,6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CE" w:rsidRPr="00F754CE" w:rsidRDefault="00F754CE" w:rsidP="00F754CE">
            <w:pPr>
              <w:tabs>
                <w:tab w:val="left" w:pos="732"/>
              </w:tabs>
              <w:spacing w:after="0"/>
              <w:ind w:firstLine="11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+4,0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2 270 383,3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ind w:hanging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+2,1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2 350 077,2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b/>
                <w:sz w:val="18"/>
                <w:szCs w:val="18"/>
              </w:rPr>
              <w:t>+3,5</w:t>
            </w:r>
          </w:p>
        </w:tc>
      </w:tr>
      <w:tr w:rsidR="00F754CE" w:rsidRPr="00FB2B3E" w:rsidTr="008E355D">
        <w:trPr>
          <w:trHeight w:val="451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ind w:left="-61" w:right="-54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1 798 920,5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1 873 270,8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CE" w:rsidRPr="00F754CE" w:rsidRDefault="00F754CE" w:rsidP="00F754CE">
            <w:pPr>
              <w:tabs>
                <w:tab w:val="left" w:pos="732"/>
              </w:tabs>
              <w:spacing w:after="0"/>
              <w:ind w:firstLine="11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1 908 518,7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ind w:hanging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+1,9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1 968 966,1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+3,2</w:t>
            </w:r>
          </w:p>
        </w:tc>
      </w:tr>
      <w:tr w:rsidR="00F754CE" w:rsidRPr="00FB2B3E" w:rsidTr="008E355D">
        <w:trPr>
          <w:trHeight w:val="49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ind w:left="-61" w:right="-54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Акцизы на нефтепродукты</w:t>
            </w:r>
          </w:p>
        </w:tc>
        <w:tc>
          <w:tcPr>
            <w:tcW w:w="1275" w:type="dxa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17 082,1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19 739,7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CE" w:rsidRPr="00F754CE" w:rsidRDefault="00F754CE" w:rsidP="00F754CE">
            <w:pPr>
              <w:tabs>
                <w:tab w:val="left" w:pos="732"/>
              </w:tabs>
              <w:spacing w:after="0"/>
              <w:ind w:firstLine="11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20 689,5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ind w:hanging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+4,8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27 902,2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+34,9</w:t>
            </w:r>
          </w:p>
        </w:tc>
      </w:tr>
      <w:tr w:rsidR="00F754CE" w:rsidRPr="00FB2B3E" w:rsidTr="008E355D">
        <w:trPr>
          <w:trHeight w:val="490"/>
          <w:jc w:val="center"/>
        </w:trPr>
        <w:tc>
          <w:tcPr>
            <w:tcW w:w="455" w:type="dxa"/>
            <w:shd w:val="clear" w:color="auto" w:fill="FFFFFF"/>
            <w:vAlign w:val="center"/>
          </w:tcPr>
          <w:p w:rsidR="00F754CE" w:rsidRPr="00FB2B3E" w:rsidRDefault="00F754CE" w:rsidP="00F7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F754CE" w:rsidRPr="00FB2B3E" w:rsidRDefault="00F754CE" w:rsidP="00F754CE">
            <w:pPr>
              <w:spacing w:after="0" w:line="240" w:lineRule="auto"/>
              <w:ind w:left="-61" w:right="-54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194 258,3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198 140,1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tabs>
                <w:tab w:val="left" w:pos="732"/>
              </w:tabs>
              <w:spacing w:after="0"/>
              <w:ind w:firstLine="11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201 179,5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ind w:hanging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+1,5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204 269,3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+1,5</w:t>
            </w:r>
          </w:p>
        </w:tc>
      </w:tr>
      <w:tr w:rsidR="00F754CE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54CE" w:rsidRPr="00FB2B3E" w:rsidRDefault="00F754CE" w:rsidP="00F754CE">
            <w:pPr>
              <w:spacing w:after="0" w:line="240" w:lineRule="auto"/>
              <w:ind w:left="-61" w:right="-54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120 569,3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123 848,0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CE" w:rsidRPr="00F754CE" w:rsidRDefault="00F754CE" w:rsidP="00F754CE">
            <w:pPr>
              <w:tabs>
                <w:tab w:val="left" w:pos="732"/>
              </w:tabs>
              <w:spacing w:after="0"/>
              <w:ind w:firstLine="11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130 628,6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ind w:hanging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+5,5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139 572,6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+6,8</w:t>
            </w:r>
          </w:p>
        </w:tc>
      </w:tr>
      <w:tr w:rsidR="00F754CE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FFFFFF"/>
            <w:vAlign w:val="center"/>
          </w:tcPr>
          <w:p w:rsidR="00F754CE" w:rsidRPr="00FB2B3E" w:rsidRDefault="00F754CE" w:rsidP="00F7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FB2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F754CE" w:rsidRPr="00FB2B3E" w:rsidRDefault="00F754CE" w:rsidP="00F754CE">
            <w:pPr>
              <w:spacing w:after="0" w:line="240" w:lineRule="auto"/>
              <w:ind w:left="-61" w:right="-54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Г</w:t>
            </w:r>
            <w:r w:rsidRPr="00FB2B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осударственная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FB2B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8 218,0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9 367,0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tabs>
                <w:tab w:val="left" w:pos="732"/>
              </w:tabs>
              <w:spacing w:after="0"/>
              <w:ind w:firstLine="11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+14,0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9 367,0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ind w:hanging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9 367,0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754CE" w:rsidRPr="00F754CE" w:rsidRDefault="00F754CE" w:rsidP="00F754C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4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2823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2</w:t>
            </w:r>
            <w:r w:rsidRPr="00FB2B3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ind w:left="-52" w:right="-156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FB2B3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262 570,3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254 219,4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-3,2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255 514,3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+0,5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258 662,6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b/>
                <w:sz w:val="18"/>
                <w:szCs w:val="18"/>
              </w:rPr>
              <w:t>+1,2</w:t>
            </w:r>
          </w:p>
        </w:tc>
      </w:tr>
      <w:tr w:rsidR="00CE2823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</w:t>
            </w:r>
            <w:r w:rsidRPr="00FB2B3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.1.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ind w:left="-52" w:right="-15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B2B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179 406,0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182 857,0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+1,9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184 254,8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+0,8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188 764,0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+2,5</w:t>
            </w:r>
          </w:p>
        </w:tc>
      </w:tr>
      <w:tr w:rsidR="00CE2823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</w:t>
            </w:r>
            <w:r w:rsidRPr="00FB2B3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ind w:left="-52" w:right="-15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B2B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51 114,5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52 649,5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+3,0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ind w:firstLine="1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53 368,8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+1,4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52 885,9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</w:tr>
      <w:tr w:rsidR="00CE2823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</w:t>
            </w:r>
            <w:r w:rsidRPr="00FB2B3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.3.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ind w:left="-52" w:right="-15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B2B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23 716,1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13 141,5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12 479,3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-5,0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12 301,8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CE2823" w:rsidRPr="00FB2B3E" w:rsidTr="008E355D">
        <w:trPr>
          <w:trHeight w:val="33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</w:t>
            </w:r>
            <w:r w:rsidRPr="00FB2B3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.4.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2823" w:rsidRPr="00FB2B3E" w:rsidRDefault="00CE2823" w:rsidP="00CE2823">
            <w:pPr>
              <w:spacing w:after="0" w:line="240" w:lineRule="auto"/>
              <w:ind w:left="-52" w:right="-15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B2B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8 333,7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5 571,4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5 411,4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-2,9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4 710,9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2823" w:rsidRPr="00CE2823" w:rsidRDefault="00CE2823" w:rsidP="00CE28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3">
              <w:rPr>
                <w:rFonts w:ascii="Times New Roman" w:hAnsi="Times New Roman" w:cs="Times New Roman"/>
                <w:sz w:val="18"/>
                <w:szCs w:val="18"/>
              </w:rPr>
              <w:t>-12,9</w:t>
            </w:r>
          </w:p>
        </w:tc>
      </w:tr>
    </w:tbl>
    <w:p w:rsidR="00E2223B" w:rsidRPr="00E2223B" w:rsidRDefault="00E2223B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BFD" w:rsidRDefault="006F5BFD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алоговые доходы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45D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B145D1" w:rsidRPr="00B145D1">
        <w:rPr>
          <w:rFonts w:ascii="Times New Roman" w:eastAsia="Times New Roman" w:hAnsi="Times New Roman" w:cs="Times New Roman"/>
          <w:sz w:val="26"/>
          <w:szCs w:val="26"/>
          <w:lang w:eastAsia="ru-RU"/>
        </w:rPr>
        <w:t>2 224 365,6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145D1">
        <w:rPr>
          <w:rFonts w:ascii="Times New Roman" w:eastAsia="Times New Roman" w:hAnsi="Times New Roman" w:cs="Times New Roman"/>
          <w:sz w:val="26"/>
          <w:szCs w:val="26"/>
          <w:lang w:eastAsia="ru-RU"/>
        </w:rPr>
        <w:t>85 317,4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B145D1"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C2C39">
        <w:t xml:space="preserve"> </w:t>
      </w:r>
      <w:r w:rsidR="008D4AC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</w:t>
      </w:r>
      <w:r w:rsidR="005B257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ше, </w:t>
      </w:r>
      <w:r w:rsidRPr="00EC2C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утвержденными показателями 20</w:t>
      </w:r>
      <w:r w:rsidR="002244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45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2C51" w:rsidRDefault="00BE2C51" w:rsidP="00C5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(</w:t>
      </w:r>
      <w:r w:rsidR="00AF3AF8">
        <w:rPr>
          <w:rFonts w:ascii="Times New Roman" w:eastAsia="Times New Roman" w:hAnsi="Times New Roman" w:cs="Times New Roman"/>
          <w:sz w:val="26"/>
          <w:szCs w:val="26"/>
          <w:lang w:eastAsia="ru-RU"/>
        </w:rPr>
        <w:t>84,</w:t>
      </w:r>
      <w:r w:rsidR="004F44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 в составе налоговых доходов традиционно занимает налог на доходы физических лиц</w:t>
      </w:r>
      <w:r w:rsidR="00E048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оступления которо</w:t>
      </w:r>
      <w:r w:rsidR="00E04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C02305" w:rsidRPr="00C023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запланир</w:t>
      </w:r>
      <w:r w:rsidR="00AF3AF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ованы с</w:t>
      </w:r>
      <w:r w:rsidR="00C02305" w:rsidRPr="00C02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230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</w:t>
      </w:r>
      <w:r w:rsidR="00AF3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02305">
        <w:rPr>
          <w:rFonts w:ascii="Times New Roman" w:eastAsia="Times New Roman" w:hAnsi="Times New Roman" w:cs="Times New Roman"/>
          <w:sz w:val="26"/>
          <w:szCs w:val="26"/>
          <w:lang w:eastAsia="ru-RU"/>
        </w:rPr>
        <w:t>70 350,3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AF3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</w:t>
      </w:r>
      <w:r w:rsidR="00C02305">
        <w:rPr>
          <w:rFonts w:ascii="Times New Roman" w:eastAsia="Times New Roman" w:hAnsi="Times New Roman" w:cs="Times New Roman"/>
          <w:sz w:val="26"/>
          <w:szCs w:val="26"/>
          <w:lang w:eastAsia="ru-RU"/>
        </w:rPr>
        <w:t>4,1</w:t>
      </w:r>
      <w:r w:rsidR="00466EE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66EE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EE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утвержденными показателями 20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23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66EE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66E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78CB" w:rsidRDefault="00CD419B" w:rsidP="00BC4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еналоговы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011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4A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C19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</w:t>
      </w:r>
      <w:r w:rsidR="001C19E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ованы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BC4A6D">
        <w:rPr>
          <w:rFonts w:ascii="Times New Roman" w:eastAsia="Times New Roman" w:hAnsi="Times New Roman" w:cs="Times New Roman"/>
          <w:sz w:val="26"/>
          <w:szCs w:val="26"/>
          <w:lang w:eastAsia="ru-RU"/>
        </w:rPr>
        <w:t>254 219,4</w:t>
      </w:r>
      <w:r w:rsidR="00F84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</w:t>
      </w:r>
      <w:r w:rsidR="00C011D9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C4A6D">
        <w:rPr>
          <w:rFonts w:ascii="Times New Roman" w:eastAsia="Times New Roman" w:hAnsi="Times New Roman" w:cs="Times New Roman"/>
          <w:sz w:val="26"/>
          <w:szCs w:val="26"/>
          <w:lang w:eastAsia="ru-RU"/>
        </w:rPr>
        <w:t>8 350,9</w:t>
      </w:r>
      <w:r w:rsidR="00C011D9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C4A6D">
        <w:rPr>
          <w:rFonts w:ascii="Times New Roman" w:eastAsia="Times New Roman" w:hAnsi="Times New Roman" w:cs="Times New Roman"/>
          <w:sz w:val="26"/>
          <w:szCs w:val="26"/>
          <w:lang w:eastAsia="ru-RU"/>
        </w:rPr>
        <w:t>3,2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BC4A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показателя 20</w:t>
      </w:r>
      <w:r w:rsidR="00D050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4A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0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BC4F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3DF" w:rsidRDefault="00E373DF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налоговых и неналоговых доходов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бюджета города предусмотрены 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</w:t>
      </w:r>
      <w:r w:rsidR="00804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4110" w:rsidRDefault="00804110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доля в общей сумме доходов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на 202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составляет 61,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53,8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52,5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3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 w:rsid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F23" w:rsidRPr="00786F23" w:rsidRDefault="00786F23" w:rsidP="00786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Динамика безвозмездных поступлений в 2024-2026 годах представлена в таблице:</w:t>
      </w:r>
    </w:p>
    <w:p w:rsidR="00786F23" w:rsidRPr="00786F23" w:rsidRDefault="00786F23" w:rsidP="00786F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6F2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082"/>
        <w:gridCol w:w="1460"/>
        <w:gridCol w:w="1071"/>
        <w:gridCol w:w="785"/>
        <w:gridCol w:w="1124"/>
        <w:gridCol w:w="654"/>
        <w:gridCol w:w="1124"/>
        <w:gridCol w:w="664"/>
      </w:tblGrid>
      <w:tr w:rsidR="00786F23" w:rsidRPr="00786F23" w:rsidTr="00786F23">
        <w:trPr>
          <w:trHeight w:val="71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2023 год утверждено </w:t>
            </w:r>
          </w:p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ред. 298-ГД)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к 2023 году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к 2024 году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к 2025 году</w:t>
            </w:r>
          </w:p>
        </w:tc>
      </w:tr>
      <w:tr w:rsidR="00786F23" w:rsidRPr="00786F23" w:rsidTr="00786F23">
        <w:trPr>
          <w:trHeight w:val="34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5 314 199,6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3 992 995,2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-24,9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2 935 761,9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-26,5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2 883 440,1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-1,8</w:t>
            </w:r>
          </w:p>
        </w:tc>
      </w:tr>
      <w:tr w:rsidR="00786F23" w:rsidRPr="00786F23" w:rsidTr="00786F23">
        <w:trPr>
          <w:trHeight w:val="320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497 194,7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467 257,7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275 580,0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226 620,5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-17,8</w:t>
            </w:r>
          </w:p>
        </w:tc>
      </w:tr>
      <w:tr w:rsidR="00786F23" w:rsidRPr="00786F23" w:rsidTr="00786F23">
        <w:trPr>
          <w:trHeight w:val="374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1 900 573,6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1 150 345,7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165 266,1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-85,6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163 930,0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-0,8</w:t>
            </w:r>
          </w:p>
        </w:tc>
      </w:tr>
      <w:tr w:rsidR="00786F23" w:rsidRPr="00786F23" w:rsidTr="00786F23">
        <w:trPr>
          <w:trHeight w:val="255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2 278 815,9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2 317 322,8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2 436 846,8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+5,2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2 434 820,6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</w:tr>
      <w:tr w:rsidR="00786F23" w:rsidRPr="00786F23" w:rsidTr="00786F23">
        <w:trPr>
          <w:trHeight w:val="396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Иные межбюджетные</w:t>
            </w:r>
          </w:p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трансферты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59 685,7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58 069,0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58 069,0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58 069,0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6F23" w:rsidRPr="00786F23" w:rsidTr="00786F23">
        <w:trPr>
          <w:trHeight w:val="265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ind w:left="-72" w:right="-112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86F23" w:rsidRPr="00786F23" w:rsidRDefault="00786F23" w:rsidP="00786F23">
            <w:pPr>
              <w:tabs>
                <w:tab w:val="left" w:pos="1382"/>
              </w:tabs>
              <w:spacing w:after="0" w:line="240" w:lineRule="auto"/>
              <w:ind w:left="-80" w:right="-161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84" w:type="dxa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577 929,7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86F23" w:rsidRPr="00786F23" w:rsidRDefault="00786F23" w:rsidP="0078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786F23" w:rsidRDefault="00786F23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B7B" w:rsidRDefault="00C62B7B" w:rsidP="00995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показателями 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</w:t>
      </w:r>
      <w:r w:rsidRPr="00C62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структуре безвозмездных поступлений 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62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2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отсутствуют плановые назначения безвозмездных поступлений от юридических лиц, в том числе в рамках Соглашения между Правительством ХМАО – Югры и ПАО «ЛУКОЙЛ». </w:t>
      </w:r>
    </w:p>
    <w:p w:rsidR="00A67F3E" w:rsidRDefault="0043699C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A23D75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 </w:t>
      </w:r>
      <w:r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7633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57633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76D11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3D75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в Проекте решения о бюджете в соответствии со статьей 184.1 БК РФ соответству</w:t>
      </w:r>
      <w:r w:rsidR="00472B2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23D75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проекту бюджета автономного округа на 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3D75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3D75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958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23D75" w:rsidRPr="00C0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A23D75" w:rsidRPr="00176D11" w:rsidRDefault="00A23D75" w:rsidP="00C5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078CB" w:rsidRDefault="00C078CB" w:rsidP="00C57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Расходная часть бюджета города Когалыма</w:t>
      </w:r>
    </w:p>
    <w:p w:rsidR="00A31E06" w:rsidRPr="00A31E06" w:rsidRDefault="00A31E06" w:rsidP="00C57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2094" w:rsidRDefault="00B52094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асходы на 20</w:t>
      </w:r>
      <w:r w:rsidR="00DB7B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объеме </w:t>
      </w:r>
      <w:r w:rsidR="00994FD7" w:rsidRP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6 649 159,8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со снижением к уровню 20</w:t>
      </w:r>
      <w:r w:rsidR="006522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446B5"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A49BD">
        <w:rPr>
          <w:rFonts w:ascii="Times New Roman" w:eastAsia="Times New Roman" w:hAnsi="Times New Roman" w:cs="Times New Roman"/>
          <w:sz w:val="26"/>
          <w:szCs w:val="26"/>
          <w:lang w:eastAsia="ru-RU"/>
        </w:rPr>
        <w:t>1 822 115,5</w:t>
      </w:r>
      <w:r w:rsidR="006446B5"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446B5" w:rsidRPr="0064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6446B5"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21,5</w:t>
      </w:r>
      <w:r w:rsidR="006446B5"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638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2094" w:rsidRPr="00B52094" w:rsidRDefault="00B52094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расходов 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94FD7" w:rsidRP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5 663 228,5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D02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20</w:t>
      </w:r>
      <w:r w:rsidR="006446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 w:rsidR="001815E8">
        <w:rPr>
          <w:rFonts w:ascii="Times New Roman" w:eastAsia="Times New Roman" w:hAnsi="Times New Roman" w:cs="Times New Roman"/>
          <w:sz w:val="26"/>
          <w:szCs w:val="26"/>
          <w:lang w:eastAsia="ru-RU"/>
        </w:rPr>
        <w:t>985 931,3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14,8</w:t>
      </w: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B52094" w:rsidRDefault="00B52094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185B" w:rsidRPr="0003185B">
        <w:t xml:space="preserve"> 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расходов составит </w:t>
      </w:r>
      <w:r w:rsidR="00994FD7" w:rsidRP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5 727 635,3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20</w:t>
      </w:r>
      <w:r w:rsid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 w:rsidR="00D800BB">
        <w:rPr>
          <w:rFonts w:ascii="Times New Roman" w:eastAsia="Times New Roman" w:hAnsi="Times New Roman" w:cs="Times New Roman"/>
          <w:sz w:val="26"/>
          <w:szCs w:val="26"/>
          <w:lang w:eastAsia="ru-RU"/>
        </w:rPr>
        <w:t>64 406,8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994FD7">
        <w:rPr>
          <w:rFonts w:ascii="Times New Roman" w:eastAsia="Times New Roman" w:hAnsi="Times New Roman" w:cs="Times New Roman"/>
          <w:sz w:val="26"/>
          <w:szCs w:val="26"/>
          <w:lang w:eastAsia="ru-RU"/>
        </w:rPr>
        <w:t>1,1</w:t>
      </w:r>
      <w:r w:rsidR="0003185B" w:rsidRPr="0003185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B22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F1D" w:rsidRDefault="00C078CB" w:rsidP="00F2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Социальная сфера в </w:t>
      </w:r>
      <w:r w:rsidR="0079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</w:t>
      </w:r>
      <w:r w:rsidR="0079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10A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3D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2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планового периода 20</w:t>
      </w:r>
      <w:r w:rsidR="00D737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3D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10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236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8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3D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2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и в предыдущих годах, осталась приоритетом финансирования расходов. </w:t>
      </w:r>
      <w:r w:rsid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расходов на социальную сферу в общем объеме расходов бюджета </w:t>
      </w:r>
      <w:r w:rsidR="00F21F1D" w:rsidRPr="00945FE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73,0%, в 2025 году 71,6% и в 2026 году 70,9%</w:t>
      </w:r>
      <w:r w:rsid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44F" w:rsidRDefault="00AC4C14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расходов на социальную сферу в 202</w:t>
      </w:r>
      <w:r w:rsidR="00AA3D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AA3D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представлена в таблице: </w:t>
      </w:r>
    </w:p>
    <w:p w:rsidR="00D639BD" w:rsidRPr="00D639BD" w:rsidRDefault="00D639BD" w:rsidP="00D639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9BD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708"/>
        <w:gridCol w:w="1134"/>
        <w:gridCol w:w="709"/>
        <w:gridCol w:w="1134"/>
        <w:gridCol w:w="715"/>
      </w:tblGrid>
      <w:tr w:rsidR="00D639BD" w:rsidRPr="00B30C29" w:rsidTr="00C25D08">
        <w:trPr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C29" w:rsidRPr="00B30C29" w:rsidRDefault="00B30C29" w:rsidP="004C03C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BA3" w:rsidRPr="000F6BA3" w:rsidRDefault="000F6BA3" w:rsidP="000F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0F6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утверждено </w:t>
            </w:r>
          </w:p>
          <w:p w:rsidR="00B30C29" w:rsidRPr="00B30C29" w:rsidRDefault="000F6BA3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ред. 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</w:t>
            </w:r>
            <w:r w:rsidRPr="000F6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-ГД)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9" w:rsidRPr="00B30C29" w:rsidRDefault="00B30C29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0F6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9" w:rsidRPr="00B30C29" w:rsidRDefault="00B30C29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к 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9" w:rsidRPr="00B30C29" w:rsidRDefault="00B30C29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9" w:rsidRPr="00B30C29" w:rsidRDefault="00B30C29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к 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9" w:rsidRPr="00B30C29" w:rsidRDefault="00B30C29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9" w:rsidRPr="00B30C29" w:rsidRDefault="00B30C29" w:rsidP="00A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к 202</w:t>
            </w:r>
            <w:r w:rsidR="00AA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B30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6B0947" w:rsidRPr="00B30C29" w:rsidTr="00C25D08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947" w:rsidRPr="00C25D08" w:rsidRDefault="006B0947" w:rsidP="006B094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3 962 472,8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4 067 161,9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3 250 287,7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-20,1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3 258 326,5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+0,2</w:t>
            </w:r>
          </w:p>
        </w:tc>
      </w:tr>
      <w:tr w:rsidR="006B0947" w:rsidRPr="00B30C29" w:rsidTr="00C25D08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947" w:rsidRPr="00C25D08" w:rsidRDefault="006B0947" w:rsidP="006B094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381 188,5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365 250,4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366 643,9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366 791,0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B0947" w:rsidRPr="00B30C29" w:rsidTr="00C25D08">
        <w:trPr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947" w:rsidRPr="00C25D08" w:rsidRDefault="006B0947" w:rsidP="006B094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992,2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992,2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B0947" w:rsidRPr="00B30C29" w:rsidTr="009155D1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947" w:rsidRPr="00C25D08" w:rsidRDefault="006B0947" w:rsidP="006B094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74 706,8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58 483,8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-21,7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60 858,4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59 576,1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</w:tr>
      <w:tr w:rsidR="006B0947" w:rsidRPr="00B30C29" w:rsidTr="00C25D08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947" w:rsidRPr="00C25D08" w:rsidRDefault="006B0947" w:rsidP="006B094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353 591,4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364 283,7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377 137,8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377 983,2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947" w:rsidRPr="006B0947" w:rsidRDefault="006B0947" w:rsidP="006B09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0947">
              <w:rPr>
                <w:rFonts w:ascii="Times New Roman" w:hAnsi="Times New Roman" w:cs="Times New Roman"/>
                <w:sz w:val="18"/>
                <w:szCs w:val="18"/>
              </w:rPr>
              <w:t>+0,2</w:t>
            </w:r>
          </w:p>
        </w:tc>
      </w:tr>
      <w:tr w:rsidR="00D639BD" w:rsidRPr="00B30C29" w:rsidTr="00D639BD">
        <w:trPr>
          <w:trHeight w:val="3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C29" w:rsidRPr="00B30C29" w:rsidRDefault="00B30C29" w:rsidP="00AC4C14">
            <w:pPr>
              <w:spacing w:after="0" w:line="240" w:lineRule="auto"/>
              <w:ind w:left="34" w:hanging="34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30C2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C29" w:rsidRPr="00BE5337" w:rsidRDefault="0089558A" w:rsidP="0089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4 772 951,7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C29" w:rsidRPr="00B30C29" w:rsidRDefault="00945FEE" w:rsidP="0089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4 856 172,0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29" w:rsidRPr="000D7ED5" w:rsidRDefault="00842CD4" w:rsidP="000D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+ </w:t>
            </w:r>
            <w:r w:rsidR="000D7E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0D7E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0D7E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C29" w:rsidRPr="00B30C29" w:rsidRDefault="000D7ED5" w:rsidP="0089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4 055 920,0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29" w:rsidRPr="00B30C29" w:rsidRDefault="000D7ED5" w:rsidP="0089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C29" w:rsidRPr="00B30C29" w:rsidRDefault="00842CD4" w:rsidP="0089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4 063 669,0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29" w:rsidRPr="00B30C29" w:rsidRDefault="00842CD4" w:rsidP="0089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+ 0,2</w:t>
            </w:r>
          </w:p>
        </w:tc>
      </w:tr>
    </w:tbl>
    <w:p w:rsidR="00A31E06" w:rsidRPr="009155D1" w:rsidRDefault="00A31E06" w:rsidP="00AC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26B8" w:rsidRDefault="00C078CB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Наибольший удельный вес</w:t>
      </w:r>
      <w:r w:rsidR="00E070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сумме расходов </w:t>
      </w:r>
      <w:r w:rsidR="003068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социальную сферу</w:t>
      </w:r>
      <w:r w:rsidR="00E070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0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асходы по разделу «Образование», их доля в 202</w:t>
      </w:r>
      <w:r w:rsidR="009D05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составит </w:t>
      </w:r>
      <w:r w:rsidR="008833FD">
        <w:rPr>
          <w:rFonts w:ascii="Times New Roman" w:eastAsia="Times New Roman" w:hAnsi="Times New Roman" w:cs="Times New Roman"/>
          <w:sz w:val="26"/>
          <w:szCs w:val="26"/>
          <w:lang w:eastAsia="ru-RU"/>
        </w:rPr>
        <w:t>83,</w:t>
      </w:r>
      <w:r w:rsidR="009D05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="006F26B8" w:rsidRPr="006F26B8">
        <w:t xml:space="preserve"> </w:t>
      </w:r>
      <w:r w:rsidR="006F26B8" w:rsidRP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4A5F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A5F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F26B8" w:rsidRP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6F26B8" w:rsidRP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5FF2">
        <w:rPr>
          <w:rFonts w:ascii="Times New Roman" w:eastAsia="Times New Roman" w:hAnsi="Times New Roman" w:cs="Times New Roman"/>
          <w:sz w:val="26"/>
          <w:szCs w:val="26"/>
          <w:lang w:eastAsia="ru-RU"/>
        </w:rPr>
        <w:t>80,1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8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A5FF2">
        <w:rPr>
          <w:rFonts w:ascii="Times New Roman" w:eastAsia="Times New Roman" w:hAnsi="Times New Roman" w:cs="Times New Roman"/>
          <w:sz w:val="26"/>
          <w:szCs w:val="26"/>
          <w:lang w:eastAsia="ru-RU"/>
        </w:rPr>
        <w:t>80,2</w:t>
      </w:r>
      <w:r w:rsidR="008833FD">
        <w:rPr>
          <w:rFonts w:ascii="Times New Roman" w:eastAsia="Times New Roman" w:hAnsi="Times New Roman" w:cs="Times New Roman"/>
          <w:sz w:val="26"/>
          <w:szCs w:val="26"/>
          <w:lang w:eastAsia="ru-RU"/>
        </w:rPr>
        <w:t>% соответственно</w:t>
      </w:r>
      <w:r w:rsidR="006F26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053F" w:rsidRDefault="00370CAD" w:rsidP="007C0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70CAD">
        <w:rPr>
          <w:rFonts w:ascii="Times New Roman" w:eastAsia="Times New Roman" w:hAnsi="Times New Roman" w:cs="Times New Roman"/>
          <w:sz w:val="26"/>
          <w:szCs w:val="26"/>
          <w:lang w:eastAsia="ru-RU"/>
        </w:rPr>
        <w:t>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70CA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70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ассигнований,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53F" w:rsidRPr="00370C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направляемых на поддержку семьи и детей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предусмотрены в Проекте бюджета</w:t>
      </w:r>
      <w:r w:rsidRPr="00370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размере </w:t>
      </w:r>
      <w:r w:rsidR="00F21F1D" w:rsidRP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>3 957 504,1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F21F1D" w:rsidRP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3 242 878,3 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</w:t>
      </w:r>
      <w:r w:rsidR="00F21F1D" w:rsidRPr="00F2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3 250 986,4 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по годам соответственно. Указанные средства запланированы в рамках </w:t>
      </w:r>
      <w:r w:rsidR="00346F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="007C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программ.</w:t>
      </w:r>
    </w:p>
    <w:p w:rsidR="00375BBF" w:rsidRPr="007C053F" w:rsidRDefault="00C078CB" w:rsidP="007C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расходной части бюджета города </w:t>
      </w:r>
      <w:r w:rsidR="00A067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723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FF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067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утвержденными показателями 20</w:t>
      </w:r>
      <w:r w:rsidR="00AB51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F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разделам бюджетной классификации, </w:t>
      </w:r>
      <w:r w:rsidR="00EE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 в таблице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75BBF" w:rsidRPr="009155D1" w:rsidRDefault="00375BBF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814"/>
        <w:gridCol w:w="939"/>
        <w:gridCol w:w="969"/>
      </w:tblGrid>
      <w:tr w:rsidR="00F95329" w:rsidTr="0039493C">
        <w:trPr>
          <w:trHeight w:val="298"/>
        </w:trPr>
        <w:tc>
          <w:tcPr>
            <w:tcW w:w="2835" w:type="dxa"/>
            <w:vMerge w:val="restart"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76" w:type="dxa"/>
            <w:vMerge w:val="restart"/>
            <w:vAlign w:val="center"/>
          </w:tcPr>
          <w:p w:rsidR="00110BF0" w:rsidRDefault="00F95329" w:rsidP="00D639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 20</w:t>
            </w:r>
            <w:r w:rsidR="00112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B4F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года </w:t>
            </w:r>
            <w:r w:rsidR="00110BF0" w:rsidRPr="00110B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(в ред. </w:t>
            </w:r>
            <w:r w:rsidR="00BB4F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298</w:t>
            </w:r>
            <w:r w:rsidR="00110BF0" w:rsidRPr="00110B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-ГД)</w:t>
            </w:r>
          </w:p>
          <w:p w:rsidR="00F95329" w:rsidRPr="00C57366" w:rsidRDefault="00DB782A" w:rsidP="00D639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276" w:type="dxa"/>
            <w:vMerge w:val="restart"/>
            <w:vAlign w:val="center"/>
          </w:tcPr>
          <w:p w:rsidR="00F95329" w:rsidRPr="00C57366" w:rsidRDefault="00F95329" w:rsidP="00BB4F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Проект бюджета на 20</w:t>
            </w:r>
            <w:r w:rsidR="005247D4"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B4F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110B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  <w:r w:rsidR="00DB782A"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тыс.руб.</w:t>
            </w:r>
          </w:p>
        </w:tc>
        <w:tc>
          <w:tcPr>
            <w:tcW w:w="2090" w:type="dxa"/>
            <w:gridSpan w:val="2"/>
            <w:vAlign w:val="center"/>
          </w:tcPr>
          <w:p w:rsidR="006265CC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</w:p>
          <w:p w:rsidR="00F95329" w:rsidRPr="00C57366" w:rsidRDefault="00F95329" w:rsidP="00BB4F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 20</w:t>
            </w:r>
            <w:r w:rsidR="00112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B4F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110B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году </w:t>
            </w:r>
          </w:p>
        </w:tc>
        <w:tc>
          <w:tcPr>
            <w:tcW w:w="1908" w:type="dxa"/>
            <w:gridSpan w:val="2"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(%)</w:t>
            </w:r>
          </w:p>
        </w:tc>
      </w:tr>
      <w:tr w:rsidR="00F95329" w:rsidTr="0039493C">
        <w:trPr>
          <w:trHeight w:val="346"/>
        </w:trPr>
        <w:tc>
          <w:tcPr>
            <w:tcW w:w="2835" w:type="dxa"/>
            <w:vMerge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тыс.руб.</w:t>
            </w:r>
          </w:p>
        </w:tc>
        <w:tc>
          <w:tcPr>
            <w:tcW w:w="814" w:type="dxa"/>
            <w:vAlign w:val="center"/>
          </w:tcPr>
          <w:p w:rsidR="00F95329" w:rsidRPr="00C57366" w:rsidRDefault="00F95329" w:rsidP="00C573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39" w:type="dxa"/>
            <w:vAlign w:val="center"/>
          </w:tcPr>
          <w:p w:rsidR="00F95329" w:rsidRPr="00C57366" w:rsidRDefault="00F95329" w:rsidP="00BB4F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 20</w:t>
            </w:r>
            <w:r w:rsidR="00112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B4F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  <w:r w:rsidR="00DB782A"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69" w:type="dxa"/>
            <w:vAlign w:val="center"/>
          </w:tcPr>
          <w:p w:rsidR="00F95329" w:rsidRPr="00C57366" w:rsidRDefault="00F95329" w:rsidP="00BB4F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Проект на 20</w:t>
            </w:r>
            <w:r w:rsidR="005247D4"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B4F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C573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C48D1" w:rsidTr="00B90840">
        <w:trPr>
          <w:trHeight w:val="237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862 942,9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725 602,7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-137 340,2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</w:tr>
      <w:tr w:rsidR="00FC48D1" w:rsidTr="00B90840">
        <w:trPr>
          <w:trHeight w:val="237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FC48D1"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-2 957,0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C48D1" w:rsidTr="00B90840">
        <w:trPr>
          <w:trHeight w:val="633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-64 102,9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FC48D1" w:rsidTr="00B90840">
        <w:trPr>
          <w:trHeight w:val="260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-187 278,6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</w:tr>
      <w:tr w:rsidR="00FC48D1" w:rsidTr="00B90840">
        <w:trPr>
          <w:trHeight w:val="405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1 878 432,5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367 823,8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-1 510 608,7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FC48D1" w:rsidTr="00B90840">
        <w:trPr>
          <w:trHeight w:val="256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 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-3 547,2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C48D1" w:rsidTr="00B90840">
        <w:trPr>
          <w:trHeight w:val="215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3 962 472,8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4 067 161,9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104 689,1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</w:tr>
      <w:tr w:rsidR="00FC48D1" w:rsidTr="00B90840">
        <w:trPr>
          <w:trHeight w:val="306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-15 938,1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FC48D1" w:rsidTr="00B90840">
        <w:trPr>
          <w:trHeight w:val="215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 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C48D1" w:rsidTr="00B90840">
        <w:trPr>
          <w:trHeight w:val="229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-16 223,0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FC48D1" w:rsidTr="00B90840">
        <w:trPr>
          <w:trHeight w:val="405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364 283,7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10 692,3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FC48D1" w:rsidTr="00B90840">
        <w:trPr>
          <w:trHeight w:val="366"/>
        </w:trPr>
        <w:tc>
          <w:tcPr>
            <w:tcW w:w="2835" w:type="dxa"/>
            <w:vAlign w:val="center"/>
          </w:tcPr>
          <w:p w:rsidR="00FC48D1" w:rsidRPr="00C57366" w:rsidRDefault="00FC48D1" w:rsidP="00FC4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FC48D1" w:rsidTr="00B90840">
        <w:trPr>
          <w:trHeight w:val="268"/>
        </w:trPr>
        <w:tc>
          <w:tcPr>
            <w:tcW w:w="2835" w:type="dxa"/>
            <w:vAlign w:val="center"/>
          </w:tcPr>
          <w:p w:rsidR="00FC48D1" w:rsidRPr="00872317" w:rsidRDefault="00FC48D1" w:rsidP="00FC48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бюджета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8 471 275,3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6 649 159,8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816484" w:rsidP="00FC48D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-1 822 115,5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8D1" w:rsidRPr="00FC48D1" w:rsidRDefault="00FC48D1" w:rsidP="00FC48D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8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6E170B" w:rsidRPr="0039493C" w:rsidRDefault="006E170B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78CB" w:rsidRPr="00C078CB" w:rsidRDefault="00C078CB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</w:t>
      </w:r>
      <w:r w:rsidR="00C35BF5"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20</w:t>
      </w:r>
      <w:r w:rsidR="00CE68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60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5BF5"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4725D"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</w:t>
      </w:r>
      <w:r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обусловлено тем, что расходная часть бюджета 20</w:t>
      </w:r>
      <w:r w:rsidR="006B2C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60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A324B"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3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увеличена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средств на начало года по целевым средствам; </w:t>
      </w:r>
      <w:r w:rsidR="00DB3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B3FB4" w:rsidRPr="00DB3F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объем межбюджетных трансфертов и иных безвозмездных поступлений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 дополнительные (единовременные) расходы за счет поступления дополнительных доходов</w:t>
      </w:r>
      <w:r w:rsidR="00A73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остатков средств на счете по учету средств бюджета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2C7E" w:rsidRPr="006B2C7E">
        <w:t xml:space="preserve"> </w:t>
      </w:r>
      <w:r w:rsidR="006B2C7E" w:rsidRPr="006B2C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объемах расходов бюджета, как и доходах бюджета, в 202</w:t>
      </w:r>
      <w:r w:rsidR="00F360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2C7E" w:rsidRPr="006B2C7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360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2C7E" w:rsidRPr="006B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отсутствуют плановые назначения по Соглашению между Правительством ХМАО – Югры и ПАО «ЛУКОЙЛ».</w:t>
      </w:r>
    </w:p>
    <w:p w:rsidR="00092E09" w:rsidRPr="00495B63" w:rsidRDefault="00092E09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</w:t>
      </w:r>
      <w:r w:rsidRPr="00C27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на 20</w:t>
      </w:r>
      <w:r w:rsidR="004061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62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D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</w:t>
      </w:r>
      <w:r w:rsidR="007858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62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D67C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62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6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программно-целевому методу. </w:t>
      </w:r>
    </w:p>
    <w:p w:rsidR="005F36BC" w:rsidRDefault="005F36BC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реализацию </w:t>
      </w:r>
      <w:r w:rsid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1344C7" w:rsidRPr="001344C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4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1344C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7935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планируются в объеме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864" w:rsidRP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864" w:rsidRP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590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864" w:rsidRP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587,1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>99,1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общего объема расходов бюджета, на непрограммные направления в сумме 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58 572,7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1344C7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>% всех запланированных расходов бюджета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36BC" w:rsidRPr="005F36BC" w:rsidRDefault="005F36BC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3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95B63" w:rsidRP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 511 774,9</w:t>
      </w:r>
      <w:r w:rsid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97,3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151 453,6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833E20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>% соответственно;</w:t>
      </w:r>
    </w:p>
    <w:p w:rsidR="005F36BC" w:rsidRPr="005F36BC" w:rsidRDefault="005F36BC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78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="0078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B63" w:rsidRP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 516 211,7</w:t>
      </w:r>
      <w:r w:rsidR="0049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96,3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211 423,6</w:t>
      </w:r>
      <w:r w:rsidR="00BC6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521864">
        <w:rPr>
          <w:rFonts w:ascii="Times New Roman" w:eastAsia="Times New Roman" w:hAnsi="Times New Roman" w:cs="Times New Roman"/>
          <w:sz w:val="26"/>
          <w:szCs w:val="26"/>
          <w:lang w:eastAsia="ru-RU"/>
        </w:rPr>
        <w:t>3,7</w:t>
      </w:r>
      <w:r w:rsidRPr="005F36BC">
        <w:rPr>
          <w:rFonts w:ascii="Times New Roman" w:eastAsia="Times New Roman" w:hAnsi="Times New Roman" w:cs="Times New Roman"/>
          <w:sz w:val="26"/>
          <w:szCs w:val="26"/>
          <w:lang w:eastAsia="ru-RU"/>
        </w:rPr>
        <w:t>% соответственно.</w:t>
      </w:r>
      <w:r w:rsidR="00D77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3C6A" w:rsidRDefault="0031371A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</w:t>
      </w:r>
      <w:r w:rsidRPr="0031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предусмотрены </w:t>
      </w:r>
      <w:r w:rsidR="00F6587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</w:t>
      </w:r>
      <w:r w:rsidRPr="0031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региональных проектов, направленных на достижение результатов и целевых показателей национальных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65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37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«Образование», «Жилье и городская среда»,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объеме 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955 370,9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20 609,6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A5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296,1</w:t>
      </w:r>
      <w:r w:rsidR="00103C6A" w:rsidRPr="0010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77FE8" w:rsidRDefault="00AD5809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экспертизы проекта бюджета проведена сверка объем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D3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представленных </w:t>
      </w:r>
      <w:r w:rsidR="006D0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проектах изменений </w:t>
      </w:r>
      <w:r w:rsidRPr="006D0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6D007D" w:rsidRPr="006D0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программ, с планируемыми бюджетными ассигнованиями</w:t>
      </w:r>
      <w:r w:rsidR="00C060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предусмотренными проектом решения о бюдже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города Когалыма на 20</w:t>
      </w:r>
      <w:r w:rsidR="00CE68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E68CD" w:rsidRPr="00CE68CD">
        <w:t xml:space="preserve"> </w:t>
      </w:r>
      <w:r w:rsidR="00CE68CD" w:rsidRPr="00CE68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E68CD" w:rsidRPr="00CE6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3456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E68CD" w:rsidRPr="00CE6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D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7E36" w:rsidRPr="00AC4C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расхождения не установлены.</w:t>
      </w:r>
    </w:p>
    <w:p w:rsidR="00C66374" w:rsidRDefault="00C66374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инвестиционного характера, предусмотренные проектом бюджета, составили на 2024 год – 1 107 937,8 тыс. рублей, на 2025 год – 34 383,0 тыс. рублей, на 2026 год – 34 383,0 тыс. рублей. Снижение расходов в сравнении с 2024 годом, обусловлено завершением строительства среднеобразовательной школы в городе Когалыме.</w:t>
      </w:r>
    </w:p>
    <w:p w:rsidR="00D11E73" w:rsidRDefault="00C11379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6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условно утверждаемых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в проекте бюджета, соответствует требованиям пункта 3 статьи 184.1 БК РФ и составляет на 20</w:t>
      </w:r>
      <w:r w:rsidR="006704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46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70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30463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C64BBC">
        <w:rPr>
          <w:rFonts w:ascii="Times New Roman" w:eastAsia="Times New Roman" w:hAnsi="Times New Roman" w:cs="Times New Roman"/>
          <w:sz w:val="26"/>
          <w:szCs w:val="26"/>
          <w:lang w:eastAsia="ru-RU"/>
        </w:rPr>
        <w:t> 000,0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2B3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B6278A" w:rsidRPr="002B3455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CB3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345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10D9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8D757A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860EC8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46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D757A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30463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01F0C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D757A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000,0 тыс. рублей или </w:t>
      </w:r>
      <w:r w:rsidR="00CB3DA0">
        <w:rPr>
          <w:rFonts w:ascii="Times New Roman" w:eastAsia="Times New Roman" w:hAnsi="Times New Roman" w:cs="Times New Roman"/>
          <w:sz w:val="26"/>
          <w:szCs w:val="26"/>
          <w:lang w:eastAsia="ru-RU"/>
        </w:rPr>
        <w:t>5,2</w:t>
      </w:r>
      <w:r w:rsidR="008D757A" w:rsidRPr="00915D1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10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="008D757A" w:rsidRP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</w:t>
      </w:r>
      <w:r w:rsid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имеющих целевое назначение).</w:t>
      </w:r>
    </w:p>
    <w:p w:rsidR="00103C6A" w:rsidRDefault="00103C6A" w:rsidP="00103C6A">
      <w:pPr>
        <w:spacing w:after="0" w:line="240" w:lineRule="auto"/>
        <w:ind w:firstLine="708"/>
        <w:jc w:val="both"/>
      </w:pP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исполнение публичных нормативных обязательств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E754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754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3</w:t>
      </w:r>
      <w:r w:rsidR="00AC4CDD">
        <w:rPr>
          <w:rFonts w:ascii="Times New Roman" w:eastAsia="Times New Roman" w:hAnsi="Times New Roman" w:cs="Times New Roman"/>
          <w:sz w:val="26"/>
          <w:szCs w:val="26"/>
          <w:lang w:eastAsia="ru-RU"/>
        </w:rPr>
        <w:t> 244,5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по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</w:t>
      </w:r>
      <w:r w:rsidR="00AC4CDD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91135">
        <w:t xml:space="preserve"> </w:t>
      </w:r>
    </w:p>
    <w:p w:rsidR="00AB182D" w:rsidRPr="00A430F1" w:rsidRDefault="00AB182D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81 БК РФ, в</w:t>
      </w:r>
      <w:r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расходной части проекта бюджета </w:t>
      </w:r>
      <w:r w:rsidR="00C1642A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CE033C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823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642A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823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642A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823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1642A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3754FD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средства </w:t>
      </w:r>
      <w:r w:rsidR="00CE033C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</w:t>
      </w:r>
      <w:r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E033C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033C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FD515E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FD515E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753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12 000</w:t>
      </w:r>
      <w:r w:rsidR="00FD515E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</w:t>
      </w:r>
      <w:r w:rsidR="00C1642A" w:rsidRP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="00183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F84" w:rsidRDefault="005D6185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EB3F84">
        <w:t xml:space="preserve"> </w:t>
      </w:r>
      <w:r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 от 26.04.2012 №148-ГД «О муниципальном дорожном фонде города Когалыма»,</w:t>
      </w:r>
      <w:r w:rsidR="00FB33F4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0BB3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2C0BB3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бюджете </w:t>
      </w:r>
      <w:r w:rsidR="002C0BB3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дорожной деятельности на 202</w:t>
      </w:r>
      <w:r w:rsidR="00310B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r w:rsidR="005A46E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B5C">
        <w:rPr>
          <w:rFonts w:ascii="Times New Roman" w:eastAsia="Times New Roman" w:hAnsi="Times New Roman" w:cs="Times New Roman"/>
          <w:sz w:val="26"/>
          <w:szCs w:val="26"/>
          <w:lang w:eastAsia="ru-RU"/>
        </w:rPr>
        <w:t>448 827,2</w:t>
      </w:r>
      <w:r w:rsidR="003147E0" w:rsidRPr="003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202</w:t>
      </w:r>
      <w:r w:rsidR="00310B5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</w:t>
      </w:r>
      <w:r w:rsidR="003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B5C">
        <w:rPr>
          <w:rFonts w:ascii="Times New Roman" w:eastAsia="Times New Roman" w:hAnsi="Times New Roman" w:cs="Times New Roman"/>
          <w:sz w:val="26"/>
          <w:szCs w:val="26"/>
          <w:lang w:eastAsia="ru-RU"/>
        </w:rPr>
        <w:t>251 307,6</w:t>
      </w:r>
      <w:r w:rsidR="003147E0" w:rsidRPr="003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202</w:t>
      </w:r>
      <w:r w:rsidR="00310B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310B5C">
        <w:rPr>
          <w:rFonts w:ascii="Times New Roman" w:eastAsia="Times New Roman" w:hAnsi="Times New Roman" w:cs="Times New Roman"/>
          <w:sz w:val="26"/>
          <w:szCs w:val="26"/>
          <w:lang w:eastAsia="ru-RU"/>
        </w:rPr>
        <w:t>248 604,2</w:t>
      </w:r>
      <w:r w:rsidR="00A8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22B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Объем </w:t>
      </w:r>
      <w:r w:rsidR="00EB3F84" w:rsidRPr="00EB3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муниципального дорожного фонда </w:t>
      </w:r>
      <w:r w:rsidR="0054222B" w:rsidRPr="0070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требованиям пункта 5 статьи 179.4 БК </w:t>
      </w:r>
      <w:r w:rsidR="00EB3F84" w:rsidRPr="0070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РФ.</w:t>
      </w:r>
    </w:p>
    <w:p w:rsidR="00FD515E" w:rsidRPr="00FD515E" w:rsidRDefault="00A126F6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</w:t>
      </w:r>
      <w:r w:rsidR="00AC22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C1642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 с дефицитом в объеме на 20</w:t>
      </w:r>
      <w:r w:rsidR="007054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63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C6301">
        <w:rPr>
          <w:rFonts w:ascii="Times New Roman" w:eastAsia="Times New Roman" w:hAnsi="Times New Roman" w:cs="Times New Roman"/>
          <w:sz w:val="26"/>
          <w:szCs w:val="26"/>
          <w:lang w:eastAsia="ru-RU"/>
        </w:rPr>
        <w:t>177 579,6</w:t>
      </w:r>
      <w:r w:rsidR="008D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202</w:t>
      </w:r>
      <w:r w:rsidR="006C630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C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201 569,0 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C630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6301">
        <w:rPr>
          <w:rFonts w:ascii="Times New Roman" w:eastAsia="Times New Roman" w:hAnsi="Times New Roman" w:cs="Times New Roman"/>
          <w:sz w:val="26"/>
          <w:szCs w:val="26"/>
          <w:lang w:eastAsia="ru-RU"/>
        </w:rPr>
        <w:t>235 455,4</w:t>
      </w:r>
      <w:r w:rsidRPr="00A1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тверждаемы</w:t>
      </w:r>
      <w:r w:rsidR="008D46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6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73C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573C6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B54B76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="00FD515E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92.1 БК РФ.</w:t>
      </w:r>
    </w:p>
    <w:p w:rsidR="0002477B" w:rsidRPr="0002477B" w:rsidRDefault="0002477B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Предусмотренный проектом бюджета состав источников финансирования дефицита бюджета соответствует статье 96 БК РФ. </w:t>
      </w:r>
      <w:r w:rsidR="006F68FA" w:rsidRP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Источниками покрытия </w:t>
      </w:r>
      <w:r w:rsidR="006F68FA" w:rsidRP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дефицита бюджета будут являться остатки средств на сч</w:t>
      </w:r>
      <w:r w:rsid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68FA" w:rsidRP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по уч</w:t>
      </w:r>
      <w:r w:rsid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68FA" w:rsidRPr="006F68FA">
        <w:rPr>
          <w:rFonts w:ascii="Times New Roman" w:eastAsia="Times New Roman" w:hAnsi="Times New Roman" w:cs="Times New Roman"/>
          <w:sz w:val="26"/>
          <w:szCs w:val="26"/>
          <w:lang w:eastAsia="ru-RU"/>
        </w:rPr>
        <w:t>ту средств бюджета.</w:t>
      </w:r>
    </w:p>
    <w:p w:rsidR="00573C66" w:rsidRDefault="00573C66" w:rsidP="001F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муниципальных внутренних заимствований, осуществление муниципальных внешних заимствований, предоставление муниципальных гарантий в 202</w:t>
      </w:r>
      <w:r w:rsidR="009920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7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 плановом периоде 202</w:t>
      </w:r>
      <w:r w:rsidR="0099206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73C6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9206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7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не планируется. </w:t>
      </w:r>
    </w:p>
    <w:p w:rsidR="007A260D" w:rsidRPr="007A260D" w:rsidRDefault="007A260D" w:rsidP="007A2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соответствуют расходным обязательствам, принятым в соответствии с полномочиями органов местного самоуправления города Когалыма. Источники финансирования дефицита бюджета соответствуют бюджетному законодательству РФ, что подтверждает соблюдение принципа разграничения доходов, расходов и источников финансирования дефицита бюджета (ст</w:t>
      </w:r>
      <w:r w:rsidR="00AF11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атья</w:t>
      </w:r>
      <w:r w:rsidRP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БК РФ).</w:t>
      </w:r>
    </w:p>
    <w:p w:rsidR="007A260D" w:rsidRPr="007A260D" w:rsidRDefault="007A260D" w:rsidP="007A2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разработке Проекта бюджета соблюден принцип полноты отражения доходов, расходов и источников финансирования дефицитов бюджетов, а именно доходы, расходы и источники финансирования дефицита бюджета города в полном объеме отражены в Проекте решения о бюджете (ст</w:t>
      </w:r>
      <w:r w:rsidR="00AF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атья </w:t>
      </w:r>
      <w:r w:rsidRP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>32 БК РФ).</w:t>
      </w:r>
    </w:p>
    <w:p w:rsidR="007A260D" w:rsidRPr="0096168B" w:rsidRDefault="007A260D" w:rsidP="007A2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 из бюджета, связанных с источниками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дефицита бюджета и изменением остатков на счетах по учету средств бюджетов, тем самым соблюден принцип сбалансированности бюджета (статья 33 БК РФ).</w:t>
      </w:r>
    </w:p>
    <w:p w:rsidR="007A260D" w:rsidRPr="007A260D" w:rsidRDefault="007A260D" w:rsidP="007A2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общего (совокупного) покрытия расходов местного бюджета, установленный статьей 35 БК РФ и означающий отсутствие закрепления конкретных видов расходов за определенными видами доходов в Проекте бюджета, соблюден.</w:t>
      </w:r>
    </w:p>
    <w:p w:rsidR="007A260D" w:rsidRDefault="007A260D" w:rsidP="007A2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6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достоверности расходов местного бюджета, установленный статьей 37 БК РФ и означающий реалистичность расчета расходов бюджета в Проекте бюджета, соблюден.</w:t>
      </w:r>
    </w:p>
    <w:p w:rsidR="00C078CB" w:rsidRDefault="00C078CB" w:rsidP="00C5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29020B" w:rsidRPr="0029020B" w:rsidRDefault="0029020B" w:rsidP="0029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проект решения о бюджете города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в целом соответствует требованиям Бюджетного кодекса РФ и Положению об отдельных вопросах организации и осуществления бюджетного процесса в городе Когалыме. </w:t>
      </w:r>
    </w:p>
    <w:p w:rsidR="0029020B" w:rsidRPr="00C078CB" w:rsidRDefault="0029020B" w:rsidP="0029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24.11.202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bookmarkStart w:id="0" w:name="_GoBack"/>
      <w:bookmarkEnd w:id="0"/>
      <w:r w:rsidRPr="0029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в Думу города Когалыма и главе города Когалыма.</w:t>
      </w:r>
    </w:p>
    <w:sectPr w:rsidR="0029020B" w:rsidRPr="00C078CB" w:rsidSect="009875FC">
      <w:footerReference w:type="default" r:id="rId8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99" w:rsidRDefault="007D1799" w:rsidP="008728FB">
      <w:pPr>
        <w:spacing w:after="0" w:line="240" w:lineRule="auto"/>
      </w:pPr>
      <w:r>
        <w:separator/>
      </w:r>
    </w:p>
  </w:endnote>
  <w:endnote w:type="continuationSeparator" w:id="0">
    <w:p w:rsidR="007D1799" w:rsidRDefault="007D1799" w:rsidP="0087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008473"/>
      <w:docPartObj>
        <w:docPartGallery w:val="Page Numbers (Bottom of Page)"/>
        <w:docPartUnique/>
      </w:docPartObj>
    </w:sdtPr>
    <w:sdtContent>
      <w:p w:rsidR="00FB36D3" w:rsidRDefault="00FB36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55">
          <w:rPr>
            <w:noProof/>
          </w:rPr>
          <w:t>7</w:t>
        </w:r>
        <w:r>
          <w:fldChar w:fldCharType="end"/>
        </w:r>
      </w:p>
    </w:sdtContent>
  </w:sdt>
  <w:p w:rsidR="00FB36D3" w:rsidRDefault="00FB3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99" w:rsidRDefault="007D1799" w:rsidP="008728FB">
      <w:pPr>
        <w:spacing w:after="0" w:line="240" w:lineRule="auto"/>
      </w:pPr>
      <w:r>
        <w:separator/>
      </w:r>
    </w:p>
  </w:footnote>
  <w:footnote w:type="continuationSeparator" w:id="0">
    <w:p w:rsidR="007D1799" w:rsidRDefault="007D1799" w:rsidP="0087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AB6"/>
    <w:multiLevelType w:val="hybridMultilevel"/>
    <w:tmpl w:val="A7A010B8"/>
    <w:lvl w:ilvl="0" w:tplc="37C4ED56">
      <w:start w:val="3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2CA"/>
    <w:multiLevelType w:val="hybridMultilevel"/>
    <w:tmpl w:val="26E46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6254"/>
    <w:multiLevelType w:val="hybridMultilevel"/>
    <w:tmpl w:val="1CD0CDAE"/>
    <w:lvl w:ilvl="0" w:tplc="61DCD43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7739B0"/>
    <w:multiLevelType w:val="multilevel"/>
    <w:tmpl w:val="ABAE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F"/>
    <w:rsid w:val="00000723"/>
    <w:rsid w:val="000009F7"/>
    <w:rsid w:val="000038C0"/>
    <w:rsid w:val="00004B41"/>
    <w:rsid w:val="00005421"/>
    <w:rsid w:val="000068B8"/>
    <w:rsid w:val="00011BB9"/>
    <w:rsid w:val="00011D50"/>
    <w:rsid w:val="00012B64"/>
    <w:rsid w:val="0001542A"/>
    <w:rsid w:val="00015607"/>
    <w:rsid w:val="0002477B"/>
    <w:rsid w:val="00025255"/>
    <w:rsid w:val="0003185B"/>
    <w:rsid w:val="00036704"/>
    <w:rsid w:val="00037A5E"/>
    <w:rsid w:val="000419C7"/>
    <w:rsid w:val="0004220A"/>
    <w:rsid w:val="00042DC8"/>
    <w:rsid w:val="0004338D"/>
    <w:rsid w:val="00043503"/>
    <w:rsid w:val="00045540"/>
    <w:rsid w:val="00045EA7"/>
    <w:rsid w:val="00046022"/>
    <w:rsid w:val="00046138"/>
    <w:rsid w:val="0004685F"/>
    <w:rsid w:val="00050BA1"/>
    <w:rsid w:val="00053D39"/>
    <w:rsid w:val="00053F38"/>
    <w:rsid w:val="000541CD"/>
    <w:rsid w:val="00057558"/>
    <w:rsid w:val="00057A96"/>
    <w:rsid w:val="00060870"/>
    <w:rsid w:val="000628EF"/>
    <w:rsid w:val="00062ABD"/>
    <w:rsid w:val="000632C8"/>
    <w:rsid w:val="0006716A"/>
    <w:rsid w:val="00070B32"/>
    <w:rsid w:val="00073495"/>
    <w:rsid w:val="000740F0"/>
    <w:rsid w:val="00075876"/>
    <w:rsid w:val="00076719"/>
    <w:rsid w:val="00082758"/>
    <w:rsid w:val="000846AD"/>
    <w:rsid w:val="0008599E"/>
    <w:rsid w:val="000873E8"/>
    <w:rsid w:val="000902B1"/>
    <w:rsid w:val="00090F42"/>
    <w:rsid w:val="00091FD0"/>
    <w:rsid w:val="000924BA"/>
    <w:rsid w:val="00092E09"/>
    <w:rsid w:val="000953E3"/>
    <w:rsid w:val="0009758B"/>
    <w:rsid w:val="000A2BCC"/>
    <w:rsid w:val="000A2DB6"/>
    <w:rsid w:val="000A37E3"/>
    <w:rsid w:val="000A390F"/>
    <w:rsid w:val="000A5100"/>
    <w:rsid w:val="000A558E"/>
    <w:rsid w:val="000A76D5"/>
    <w:rsid w:val="000A7DCB"/>
    <w:rsid w:val="000B21DF"/>
    <w:rsid w:val="000B718C"/>
    <w:rsid w:val="000C041F"/>
    <w:rsid w:val="000C0453"/>
    <w:rsid w:val="000D1D46"/>
    <w:rsid w:val="000D2EF0"/>
    <w:rsid w:val="000D5ECE"/>
    <w:rsid w:val="000D73C3"/>
    <w:rsid w:val="000D7ED5"/>
    <w:rsid w:val="000E264C"/>
    <w:rsid w:val="000E2C1E"/>
    <w:rsid w:val="000E4D59"/>
    <w:rsid w:val="000E61A7"/>
    <w:rsid w:val="000E705D"/>
    <w:rsid w:val="000E75D6"/>
    <w:rsid w:val="000F0528"/>
    <w:rsid w:val="000F19EA"/>
    <w:rsid w:val="000F33C8"/>
    <w:rsid w:val="000F5484"/>
    <w:rsid w:val="000F6BA3"/>
    <w:rsid w:val="000F72D6"/>
    <w:rsid w:val="000F7B57"/>
    <w:rsid w:val="00103394"/>
    <w:rsid w:val="00103C6A"/>
    <w:rsid w:val="00104A82"/>
    <w:rsid w:val="001055FB"/>
    <w:rsid w:val="0010712C"/>
    <w:rsid w:val="001079DB"/>
    <w:rsid w:val="0011066D"/>
    <w:rsid w:val="00110BF0"/>
    <w:rsid w:val="001115B5"/>
    <w:rsid w:val="001119E9"/>
    <w:rsid w:val="0011205F"/>
    <w:rsid w:val="00113209"/>
    <w:rsid w:val="00113763"/>
    <w:rsid w:val="00117197"/>
    <w:rsid w:val="00120A86"/>
    <w:rsid w:val="0012135D"/>
    <w:rsid w:val="001213B6"/>
    <w:rsid w:val="00121491"/>
    <w:rsid w:val="00122CFD"/>
    <w:rsid w:val="00123185"/>
    <w:rsid w:val="00124A14"/>
    <w:rsid w:val="00124C8C"/>
    <w:rsid w:val="001255C2"/>
    <w:rsid w:val="00131FC4"/>
    <w:rsid w:val="00132108"/>
    <w:rsid w:val="00133894"/>
    <w:rsid w:val="001344C7"/>
    <w:rsid w:val="0013457F"/>
    <w:rsid w:val="00134C3B"/>
    <w:rsid w:val="00135D34"/>
    <w:rsid w:val="00135E4C"/>
    <w:rsid w:val="00136743"/>
    <w:rsid w:val="00141F18"/>
    <w:rsid w:val="00142C72"/>
    <w:rsid w:val="001433A2"/>
    <w:rsid w:val="00144338"/>
    <w:rsid w:val="00145622"/>
    <w:rsid w:val="00150A42"/>
    <w:rsid w:val="00151BAE"/>
    <w:rsid w:val="00153633"/>
    <w:rsid w:val="00161A24"/>
    <w:rsid w:val="00163358"/>
    <w:rsid w:val="00165979"/>
    <w:rsid w:val="001711AC"/>
    <w:rsid w:val="00172FC3"/>
    <w:rsid w:val="00174F70"/>
    <w:rsid w:val="00174F85"/>
    <w:rsid w:val="00175350"/>
    <w:rsid w:val="00175A4E"/>
    <w:rsid w:val="00176D11"/>
    <w:rsid w:val="00177C84"/>
    <w:rsid w:val="001815E8"/>
    <w:rsid w:val="00183965"/>
    <w:rsid w:val="00185608"/>
    <w:rsid w:val="00186022"/>
    <w:rsid w:val="00186CE0"/>
    <w:rsid w:val="00192F23"/>
    <w:rsid w:val="00193024"/>
    <w:rsid w:val="00193D17"/>
    <w:rsid w:val="00194CC2"/>
    <w:rsid w:val="00195256"/>
    <w:rsid w:val="00195BFB"/>
    <w:rsid w:val="001976A1"/>
    <w:rsid w:val="001977F2"/>
    <w:rsid w:val="0019792C"/>
    <w:rsid w:val="00197AA4"/>
    <w:rsid w:val="001A0A6A"/>
    <w:rsid w:val="001A1E88"/>
    <w:rsid w:val="001A2DBB"/>
    <w:rsid w:val="001A45D4"/>
    <w:rsid w:val="001A49BD"/>
    <w:rsid w:val="001A4BE7"/>
    <w:rsid w:val="001A510E"/>
    <w:rsid w:val="001A6127"/>
    <w:rsid w:val="001A77F2"/>
    <w:rsid w:val="001B121D"/>
    <w:rsid w:val="001B1E55"/>
    <w:rsid w:val="001B3D73"/>
    <w:rsid w:val="001B3E99"/>
    <w:rsid w:val="001B639D"/>
    <w:rsid w:val="001B6E7F"/>
    <w:rsid w:val="001B7593"/>
    <w:rsid w:val="001C00CA"/>
    <w:rsid w:val="001C079B"/>
    <w:rsid w:val="001C19E9"/>
    <w:rsid w:val="001C2C4E"/>
    <w:rsid w:val="001C3240"/>
    <w:rsid w:val="001C48EE"/>
    <w:rsid w:val="001C4EFB"/>
    <w:rsid w:val="001C5BEF"/>
    <w:rsid w:val="001C671D"/>
    <w:rsid w:val="001C712E"/>
    <w:rsid w:val="001C7662"/>
    <w:rsid w:val="001D04AC"/>
    <w:rsid w:val="001D111D"/>
    <w:rsid w:val="001D2D42"/>
    <w:rsid w:val="001E0F23"/>
    <w:rsid w:val="001E1128"/>
    <w:rsid w:val="001E33EE"/>
    <w:rsid w:val="001E40F6"/>
    <w:rsid w:val="001E6B27"/>
    <w:rsid w:val="001E6CB9"/>
    <w:rsid w:val="001E785B"/>
    <w:rsid w:val="001F0680"/>
    <w:rsid w:val="001F0C97"/>
    <w:rsid w:val="001F1C90"/>
    <w:rsid w:val="001F4D13"/>
    <w:rsid w:val="001F57BB"/>
    <w:rsid w:val="001F6945"/>
    <w:rsid w:val="00201190"/>
    <w:rsid w:val="00201DAA"/>
    <w:rsid w:val="00205076"/>
    <w:rsid w:val="002056B0"/>
    <w:rsid w:val="0021108A"/>
    <w:rsid w:val="00214526"/>
    <w:rsid w:val="00220287"/>
    <w:rsid w:val="002218EB"/>
    <w:rsid w:val="002223D5"/>
    <w:rsid w:val="002244AE"/>
    <w:rsid w:val="00224DEB"/>
    <w:rsid w:val="002251B4"/>
    <w:rsid w:val="0022525D"/>
    <w:rsid w:val="00225DC9"/>
    <w:rsid w:val="00227606"/>
    <w:rsid w:val="00230A10"/>
    <w:rsid w:val="002315FF"/>
    <w:rsid w:val="00233B35"/>
    <w:rsid w:val="0023471F"/>
    <w:rsid w:val="002350A1"/>
    <w:rsid w:val="002353E2"/>
    <w:rsid w:val="00237921"/>
    <w:rsid w:val="00237B3A"/>
    <w:rsid w:val="00244566"/>
    <w:rsid w:val="00254CC4"/>
    <w:rsid w:val="002553F0"/>
    <w:rsid w:val="002575C5"/>
    <w:rsid w:val="0026019D"/>
    <w:rsid w:val="00260706"/>
    <w:rsid w:val="00260930"/>
    <w:rsid w:val="00260F59"/>
    <w:rsid w:val="00261DA9"/>
    <w:rsid w:val="00261FC7"/>
    <w:rsid w:val="00264A4C"/>
    <w:rsid w:val="00264A8A"/>
    <w:rsid w:val="00270B5B"/>
    <w:rsid w:val="002715F1"/>
    <w:rsid w:val="002720A3"/>
    <w:rsid w:val="002739BD"/>
    <w:rsid w:val="00274D07"/>
    <w:rsid w:val="00276D6C"/>
    <w:rsid w:val="002804C6"/>
    <w:rsid w:val="0028188C"/>
    <w:rsid w:val="002822D4"/>
    <w:rsid w:val="002823DA"/>
    <w:rsid w:val="00283C7F"/>
    <w:rsid w:val="002851BF"/>
    <w:rsid w:val="002869D3"/>
    <w:rsid w:val="002870D4"/>
    <w:rsid w:val="00287762"/>
    <w:rsid w:val="0029020B"/>
    <w:rsid w:val="0029273E"/>
    <w:rsid w:val="00292947"/>
    <w:rsid w:val="00295463"/>
    <w:rsid w:val="00295910"/>
    <w:rsid w:val="002968EA"/>
    <w:rsid w:val="00296C96"/>
    <w:rsid w:val="002972C9"/>
    <w:rsid w:val="002978F1"/>
    <w:rsid w:val="002A0967"/>
    <w:rsid w:val="002A1C23"/>
    <w:rsid w:val="002A1CB6"/>
    <w:rsid w:val="002B0432"/>
    <w:rsid w:val="002B0F61"/>
    <w:rsid w:val="002B1862"/>
    <w:rsid w:val="002B18E7"/>
    <w:rsid w:val="002B29AC"/>
    <w:rsid w:val="002B2E59"/>
    <w:rsid w:val="002B32B8"/>
    <w:rsid w:val="002B3455"/>
    <w:rsid w:val="002B53F7"/>
    <w:rsid w:val="002B65CB"/>
    <w:rsid w:val="002B6FF8"/>
    <w:rsid w:val="002C00C0"/>
    <w:rsid w:val="002C0BB3"/>
    <w:rsid w:val="002C0E45"/>
    <w:rsid w:val="002C1ADA"/>
    <w:rsid w:val="002C1E28"/>
    <w:rsid w:val="002C2998"/>
    <w:rsid w:val="002C4090"/>
    <w:rsid w:val="002C7403"/>
    <w:rsid w:val="002D3125"/>
    <w:rsid w:val="002D67A9"/>
    <w:rsid w:val="002D76E6"/>
    <w:rsid w:val="002E0C1D"/>
    <w:rsid w:val="002E1CFF"/>
    <w:rsid w:val="002E41A9"/>
    <w:rsid w:val="002E444F"/>
    <w:rsid w:val="002E54DA"/>
    <w:rsid w:val="002E6C61"/>
    <w:rsid w:val="002F2A85"/>
    <w:rsid w:val="002F2AD2"/>
    <w:rsid w:val="002F3BAD"/>
    <w:rsid w:val="002F6194"/>
    <w:rsid w:val="0030284D"/>
    <w:rsid w:val="00304633"/>
    <w:rsid w:val="00306835"/>
    <w:rsid w:val="00307A91"/>
    <w:rsid w:val="00310B5C"/>
    <w:rsid w:val="003112FC"/>
    <w:rsid w:val="0031279B"/>
    <w:rsid w:val="00313126"/>
    <w:rsid w:val="0031326A"/>
    <w:rsid w:val="0031342C"/>
    <w:rsid w:val="0031371A"/>
    <w:rsid w:val="0031416F"/>
    <w:rsid w:val="003147E0"/>
    <w:rsid w:val="003156EC"/>
    <w:rsid w:val="00320630"/>
    <w:rsid w:val="00320700"/>
    <w:rsid w:val="00321F46"/>
    <w:rsid w:val="003234E9"/>
    <w:rsid w:val="00324318"/>
    <w:rsid w:val="00325621"/>
    <w:rsid w:val="0032753E"/>
    <w:rsid w:val="00327EAF"/>
    <w:rsid w:val="00330EF4"/>
    <w:rsid w:val="0033245D"/>
    <w:rsid w:val="003329E7"/>
    <w:rsid w:val="003346B2"/>
    <w:rsid w:val="003357DB"/>
    <w:rsid w:val="00335A97"/>
    <w:rsid w:val="00335BBD"/>
    <w:rsid w:val="00335C47"/>
    <w:rsid w:val="00340BB9"/>
    <w:rsid w:val="003435F0"/>
    <w:rsid w:val="0034562E"/>
    <w:rsid w:val="0034647A"/>
    <w:rsid w:val="00346F18"/>
    <w:rsid w:val="003503EA"/>
    <w:rsid w:val="0035050D"/>
    <w:rsid w:val="00350EB2"/>
    <w:rsid w:val="0035145E"/>
    <w:rsid w:val="003525A8"/>
    <w:rsid w:val="00354AAE"/>
    <w:rsid w:val="00355F83"/>
    <w:rsid w:val="00365642"/>
    <w:rsid w:val="003656F3"/>
    <w:rsid w:val="0036590A"/>
    <w:rsid w:val="003676BF"/>
    <w:rsid w:val="00370C86"/>
    <w:rsid w:val="00370CAD"/>
    <w:rsid w:val="00372464"/>
    <w:rsid w:val="00372A69"/>
    <w:rsid w:val="00374C3E"/>
    <w:rsid w:val="003750FD"/>
    <w:rsid w:val="003754FD"/>
    <w:rsid w:val="00375BBF"/>
    <w:rsid w:val="00376809"/>
    <w:rsid w:val="003776C3"/>
    <w:rsid w:val="0038064A"/>
    <w:rsid w:val="0038168F"/>
    <w:rsid w:val="0039216F"/>
    <w:rsid w:val="003939BF"/>
    <w:rsid w:val="00394099"/>
    <w:rsid w:val="00394928"/>
    <w:rsid w:val="0039493C"/>
    <w:rsid w:val="00394FA6"/>
    <w:rsid w:val="003953F0"/>
    <w:rsid w:val="003A0836"/>
    <w:rsid w:val="003A0E9C"/>
    <w:rsid w:val="003A324B"/>
    <w:rsid w:val="003A400B"/>
    <w:rsid w:val="003A5B54"/>
    <w:rsid w:val="003B2EC2"/>
    <w:rsid w:val="003B3971"/>
    <w:rsid w:val="003B3D6A"/>
    <w:rsid w:val="003B4221"/>
    <w:rsid w:val="003B6A9E"/>
    <w:rsid w:val="003C19D6"/>
    <w:rsid w:val="003C2F81"/>
    <w:rsid w:val="003C4889"/>
    <w:rsid w:val="003C49D6"/>
    <w:rsid w:val="003C4BAC"/>
    <w:rsid w:val="003C51B6"/>
    <w:rsid w:val="003D3783"/>
    <w:rsid w:val="003D402D"/>
    <w:rsid w:val="003D6716"/>
    <w:rsid w:val="003D6AB3"/>
    <w:rsid w:val="003D783E"/>
    <w:rsid w:val="003E216A"/>
    <w:rsid w:val="003E23AE"/>
    <w:rsid w:val="003E2D08"/>
    <w:rsid w:val="003E4066"/>
    <w:rsid w:val="003E4F96"/>
    <w:rsid w:val="003E5634"/>
    <w:rsid w:val="003F1C7A"/>
    <w:rsid w:val="003F2451"/>
    <w:rsid w:val="003F4FD4"/>
    <w:rsid w:val="003F6B90"/>
    <w:rsid w:val="003F7266"/>
    <w:rsid w:val="0040197E"/>
    <w:rsid w:val="00402297"/>
    <w:rsid w:val="00406159"/>
    <w:rsid w:val="004108E4"/>
    <w:rsid w:val="00412443"/>
    <w:rsid w:val="004127D5"/>
    <w:rsid w:val="00412944"/>
    <w:rsid w:val="00412A66"/>
    <w:rsid w:val="00412DFF"/>
    <w:rsid w:val="00414210"/>
    <w:rsid w:val="00414C71"/>
    <w:rsid w:val="004166DB"/>
    <w:rsid w:val="004178EE"/>
    <w:rsid w:val="004207CA"/>
    <w:rsid w:val="00420F86"/>
    <w:rsid w:val="0042173A"/>
    <w:rsid w:val="00422151"/>
    <w:rsid w:val="0042661A"/>
    <w:rsid w:val="0042766E"/>
    <w:rsid w:val="00427E92"/>
    <w:rsid w:val="00427F05"/>
    <w:rsid w:val="004301AF"/>
    <w:rsid w:val="0043113C"/>
    <w:rsid w:val="0043284F"/>
    <w:rsid w:val="00432F2A"/>
    <w:rsid w:val="0043506E"/>
    <w:rsid w:val="0043571B"/>
    <w:rsid w:val="00435D79"/>
    <w:rsid w:val="0043699C"/>
    <w:rsid w:val="00442C24"/>
    <w:rsid w:val="004432B3"/>
    <w:rsid w:val="00444236"/>
    <w:rsid w:val="004461E0"/>
    <w:rsid w:val="004468B6"/>
    <w:rsid w:val="0044725D"/>
    <w:rsid w:val="00447F29"/>
    <w:rsid w:val="0045139D"/>
    <w:rsid w:val="00453690"/>
    <w:rsid w:val="004550FC"/>
    <w:rsid w:val="004551D9"/>
    <w:rsid w:val="00456D0C"/>
    <w:rsid w:val="004610E8"/>
    <w:rsid w:val="00464EC8"/>
    <w:rsid w:val="00465939"/>
    <w:rsid w:val="00466C66"/>
    <w:rsid w:val="00466E39"/>
    <w:rsid w:val="00466EED"/>
    <w:rsid w:val="004670E4"/>
    <w:rsid w:val="00470E1A"/>
    <w:rsid w:val="00472B24"/>
    <w:rsid w:val="00474354"/>
    <w:rsid w:val="00474803"/>
    <w:rsid w:val="00474E80"/>
    <w:rsid w:val="00476C3B"/>
    <w:rsid w:val="00476C5D"/>
    <w:rsid w:val="004770CE"/>
    <w:rsid w:val="004770E4"/>
    <w:rsid w:val="004829EB"/>
    <w:rsid w:val="00484314"/>
    <w:rsid w:val="00485811"/>
    <w:rsid w:val="00486737"/>
    <w:rsid w:val="00491A2B"/>
    <w:rsid w:val="00491AE5"/>
    <w:rsid w:val="00491C3B"/>
    <w:rsid w:val="0049236B"/>
    <w:rsid w:val="00492BAA"/>
    <w:rsid w:val="00492EF2"/>
    <w:rsid w:val="00492F0E"/>
    <w:rsid w:val="00493C08"/>
    <w:rsid w:val="00493CEE"/>
    <w:rsid w:val="00493D00"/>
    <w:rsid w:val="004953CA"/>
    <w:rsid w:val="00495B63"/>
    <w:rsid w:val="0049606A"/>
    <w:rsid w:val="004A0FC6"/>
    <w:rsid w:val="004A28EB"/>
    <w:rsid w:val="004A440B"/>
    <w:rsid w:val="004A5D49"/>
    <w:rsid w:val="004A5FF2"/>
    <w:rsid w:val="004A62D8"/>
    <w:rsid w:val="004A7979"/>
    <w:rsid w:val="004B225E"/>
    <w:rsid w:val="004B2A19"/>
    <w:rsid w:val="004B2DF8"/>
    <w:rsid w:val="004B4124"/>
    <w:rsid w:val="004B4259"/>
    <w:rsid w:val="004B491B"/>
    <w:rsid w:val="004B499A"/>
    <w:rsid w:val="004B76C0"/>
    <w:rsid w:val="004C03C3"/>
    <w:rsid w:val="004C381D"/>
    <w:rsid w:val="004C5C96"/>
    <w:rsid w:val="004C6F1F"/>
    <w:rsid w:val="004D094F"/>
    <w:rsid w:val="004D3F32"/>
    <w:rsid w:val="004D69FF"/>
    <w:rsid w:val="004D6A23"/>
    <w:rsid w:val="004D708F"/>
    <w:rsid w:val="004D7632"/>
    <w:rsid w:val="004E1DC2"/>
    <w:rsid w:val="004E32CE"/>
    <w:rsid w:val="004E3457"/>
    <w:rsid w:val="004E400C"/>
    <w:rsid w:val="004E7728"/>
    <w:rsid w:val="004E7E83"/>
    <w:rsid w:val="004F093E"/>
    <w:rsid w:val="004F0E89"/>
    <w:rsid w:val="004F0FBF"/>
    <w:rsid w:val="004F2D4C"/>
    <w:rsid w:val="004F3B36"/>
    <w:rsid w:val="004F436A"/>
    <w:rsid w:val="004F441F"/>
    <w:rsid w:val="004F5E7B"/>
    <w:rsid w:val="004F6283"/>
    <w:rsid w:val="00500527"/>
    <w:rsid w:val="00501744"/>
    <w:rsid w:val="00501EA2"/>
    <w:rsid w:val="00502496"/>
    <w:rsid w:val="0050409E"/>
    <w:rsid w:val="00505B32"/>
    <w:rsid w:val="0050662C"/>
    <w:rsid w:val="005129C0"/>
    <w:rsid w:val="005140F6"/>
    <w:rsid w:val="005155D3"/>
    <w:rsid w:val="00517076"/>
    <w:rsid w:val="0051756C"/>
    <w:rsid w:val="00517CCD"/>
    <w:rsid w:val="00521030"/>
    <w:rsid w:val="005215D9"/>
    <w:rsid w:val="00521864"/>
    <w:rsid w:val="00521D89"/>
    <w:rsid w:val="00521FF6"/>
    <w:rsid w:val="005247D4"/>
    <w:rsid w:val="00524C81"/>
    <w:rsid w:val="005259B4"/>
    <w:rsid w:val="005278DA"/>
    <w:rsid w:val="005316B1"/>
    <w:rsid w:val="00534B81"/>
    <w:rsid w:val="00535D75"/>
    <w:rsid w:val="00536EA3"/>
    <w:rsid w:val="00540484"/>
    <w:rsid w:val="0054222B"/>
    <w:rsid w:val="005431FE"/>
    <w:rsid w:val="00544E47"/>
    <w:rsid w:val="00545483"/>
    <w:rsid w:val="0054627E"/>
    <w:rsid w:val="005532AE"/>
    <w:rsid w:val="00553E6F"/>
    <w:rsid w:val="00555CB7"/>
    <w:rsid w:val="00555D45"/>
    <w:rsid w:val="00556F90"/>
    <w:rsid w:val="00562C8E"/>
    <w:rsid w:val="00562D30"/>
    <w:rsid w:val="00564A01"/>
    <w:rsid w:val="0056587B"/>
    <w:rsid w:val="00567811"/>
    <w:rsid w:val="0057271D"/>
    <w:rsid w:val="00573514"/>
    <w:rsid w:val="00573C66"/>
    <w:rsid w:val="00574291"/>
    <w:rsid w:val="0058037D"/>
    <w:rsid w:val="0058067B"/>
    <w:rsid w:val="00581087"/>
    <w:rsid w:val="005820CD"/>
    <w:rsid w:val="00583417"/>
    <w:rsid w:val="005834B4"/>
    <w:rsid w:val="00583ABE"/>
    <w:rsid w:val="0058466B"/>
    <w:rsid w:val="00584B48"/>
    <w:rsid w:val="00592847"/>
    <w:rsid w:val="005936CA"/>
    <w:rsid w:val="005950CC"/>
    <w:rsid w:val="00597945"/>
    <w:rsid w:val="00597FE3"/>
    <w:rsid w:val="005A01DC"/>
    <w:rsid w:val="005A0FDA"/>
    <w:rsid w:val="005A46E4"/>
    <w:rsid w:val="005A5168"/>
    <w:rsid w:val="005B06F9"/>
    <w:rsid w:val="005B2576"/>
    <w:rsid w:val="005B4863"/>
    <w:rsid w:val="005B5AC2"/>
    <w:rsid w:val="005B70E3"/>
    <w:rsid w:val="005B7CC5"/>
    <w:rsid w:val="005C1592"/>
    <w:rsid w:val="005C194C"/>
    <w:rsid w:val="005C306F"/>
    <w:rsid w:val="005C355F"/>
    <w:rsid w:val="005C38EE"/>
    <w:rsid w:val="005D4222"/>
    <w:rsid w:val="005D5CF5"/>
    <w:rsid w:val="005D6185"/>
    <w:rsid w:val="005E3080"/>
    <w:rsid w:val="005F00E5"/>
    <w:rsid w:val="005F12EE"/>
    <w:rsid w:val="005F29B3"/>
    <w:rsid w:val="005F33C4"/>
    <w:rsid w:val="005F36BC"/>
    <w:rsid w:val="005F473F"/>
    <w:rsid w:val="005F5C84"/>
    <w:rsid w:val="005F651B"/>
    <w:rsid w:val="00605B46"/>
    <w:rsid w:val="0061018A"/>
    <w:rsid w:val="00613AEB"/>
    <w:rsid w:val="00617B3C"/>
    <w:rsid w:val="0062193D"/>
    <w:rsid w:val="006226B0"/>
    <w:rsid w:val="00622937"/>
    <w:rsid w:val="00624CD0"/>
    <w:rsid w:val="006265CC"/>
    <w:rsid w:val="006269F2"/>
    <w:rsid w:val="006272CE"/>
    <w:rsid w:val="006306BE"/>
    <w:rsid w:val="006309BE"/>
    <w:rsid w:val="006318D7"/>
    <w:rsid w:val="0063360E"/>
    <w:rsid w:val="00636EA9"/>
    <w:rsid w:val="0063722C"/>
    <w:rsid w:val="006406F1"/>
    <w:rsid w:val="006436D1"/>
    <w:rsid w:val="0064387C"/>
    <w:rsid w:val="006446B5"/>
    <w:rsid w:val="00645883"/>
    <w:rsid w:val="00645E16"/>
    <w:rsid w:val="00650CB8"/>
    <w:rsid w:val="006511BA"/>
    <w:rsid w:val="00652269"/>
    <w:rsid w:val="00653945"/>
    <w:rsid w:val="00657090"/>
    <w:rsid w:val="006607E5"/>
    <w:rsid w:val="00660C55"/>
    <w:rsid w:val="00660C6B"/>
    <w:rsid w:val="00660DE6"/>
    <w:rsid w:val="00662A80"/>
    <w:rsid w:val="00664D4B"/>
    <w:rsid w:val="00670435"/>
    <w:rsid w:val="006759D0"/>
    <w:rsid w:val="00677502"/>
    <w:rsid w:val="0067760E"/>
    <w:rsid w:val="00680D87"/>
    <w:rsid w:val="00682E6C"/>
    <w:rsid w:val="0068476B"/>
    <w:rsid w:val="00684CA7"/>
    <w:rsid w:val="006860AF"/>
    <w:rsid w:val="00686BB6"/>
    <w:rsid w:val="006874CC"/>
    <w:rsid w:val="00690D96"/>
    <w:rsid w:val="00693EA4"/>
    <w:rsid w:val="0069444F"/>
    <w:rsid w:val="00696C3E"/>
    <w:rsid w:val="00697FA8"/>
    <w:rsid w:val="006A0FA4"/>
    <w:rsid w:val="006A1698"/>
    <w:rsid w:val="006A1C0A"/>
    <w:rsid w:val="006A268F"/>
    <w:rsid w:val="006A3952"/>
    <w:rsid w:val="006A3AB1"/>
    <w:rsid w:val="006A4586"/>
    <w:rsid w:val="006A47EB"/>
    <w:rsid w:val="006A66BA"/>
    <w:rsid w:val="006B0947"/>
    <w:rsid w:val="006B1E6B"/>
    <w:rsid w:val="006B2C7E"/>
    <w:rsid w:val="006B39A5"/>
    <w:rsid w:val="006B3DB9"/>
    <w:rsid w:val="006B752B"/>
    <w:rsid w:val="006C07B7"/>
    <w:rsid w:val="006C20E8"/>
    <w:rsid w:val="006C4FB2"/>
    <w:rsid w:val="006C6301"/>
    <w:rsid w:val="006C6D65"/>
    <w:rsid w:val="006C79BC"/>
    <w:rsid w:val="006D007D"/>
    <w:rsid w:val="006D05A4"/>
    <w:rsid w:val="006D2278"/>
    <w:rsid w:val="006D3241"/>
    <w:rsid w:val="006D6066"/>
    <w:rsid w:val="006D6122"/>
    <w:rsid w:val="006D7BB9"/>
    <w:rsid w:val="006E0A3B"/>
    <w:rsid w:val="006E1499"/>
    <w:rsid w:val="006E170B"/>
    <w:rsid w:val="006E262F"/>
    <w:rsid w:val="006E5439"/>
    <w:rsid w:val="006E56F3"/>
    <w:rsid w:val="006F26B8"/>
    <w:rsid w:val="006F2A6F"/>
    <w:rsid w:val="006F3641"/>
    <w:rsid w:val="006F5BFD"/>
    <w:rsid w:val="006F68FA"/>
    <w:rsid w:val="006F70E2"/>
    <w:rsid w:val="006F75AD"/>
    <w:rsid w:val="0070144C"/>
    <w:rsid w:val="00702ABA"/>
    <w:rsid w:val="00703068"/>
    <w:rsid w:val="00704872"/>
    <w:rsid w:val="0070540C"/>
    <w:rsid w:val="0070639B"/>
    <w:rsid w:val="00706672"/>
    <w:rsid w:val="007066E2"/>
    <w:rsid w:val="00706AE0"/>
    <w:rsid w:val="007070A8"/>
    <w:rsid w:val="00710BB8"/>
    <w:rsid w:val="00712B47"/>
    <w:rsid w:val="00714184"/>
    <w:rsid w:val="00714DA2"/>
    <w:rsid w:val="00715D4B"/>
    <w:rsid w:val="00715EEB"/>
    <w:rsid w:val="007169E7"/>
    <w:rsid w:val="0071767D"/>
    <w:rsid w:val="007200A5"/>
    <w:rsid w:val="00720C14"/>
    <w:rsid w:val="007237CD"/>
    <w:rsid w:val="00723C44"/>
    <w:rsid w:val="0072649D"/>
    <w:rsid w:val="007264CA"/>
    <w:rsid w:val="00731292"/>
    <w:rsid w:val="00733842"/>
    <w:rsid w:val="007415AD"/>
    <w:rsid w:val="0074168D"/>
    <w:rsid w:val="00746ECE"/>
    <w:rsid w:val="00747B74"/>
    <w:rsid w:val="00750F62"/>
    <w:rsid w:val="00752D27"/>
    <w:rsid w:val="007540FC"/>
    <w:rsid w:val="007567C7"/>
    <w:rsid w:val="00756CC7"/>
    <w:rsid w:val="00757633"/>
    <w:rsid w:val="00760371"/>
    <w:rsid w:val="0076230A"/>
    <w:rsid w:val="00763815"/>
    <w:rsid w:val="00770C12"/>
    <w:rsid w:val="007721CF"/>
    <w:rsid w:val="00773D78"/>
    <w:rsid w:val="00776CF9"/>
    <w:rsid w:val="007770D8"/>
    <w:rsid w:val="00777FE8"/>
    <w:rsid w:val="00782433"/>
    <w:rsid w:val="00783861"/>
    <w:rsid w:val="0078585D"/>
    <w:rsid w:val="00785DDA"/>
    <w:rsid w:val="0078634A"/>
    <w:rsid w:val="00786F23"/>
    <w:rsid w:val="00791135"/>
    <w:rsid w:val="0079356C"/>
    <w:rsid w:val="00794499"/>
    <w:rsid w:val="00794718"/>
    <w:rsid w:val="00794AA7"/>
    <w:rsid w:val="007A16F0"/>
    <w:rsid w:val="007A260D"/>
    <w:rsid w:val="007A3105"/>
    <w:rsid w:val="007A3B07"/>
    <w:rsid w:val="007A736B"/>
    <w:rsid w:val="007A77B8"/>
    <w:rsid w:val="007B0F0D"/>
    <w:rsid w:val="007B1819"/>
    <w:rsid w:val="007B186C"/>
    <w:rsid w:val="007B21B5"/>
    <w:rsid w:val="007B47FD"/>
    <w:rsid w:val="007B5DA8"/>
    <w:rsid w:val="007C053F"/>
    <w:rsid w:val="007C25ED"/>
    <w:rsid w:val="007C298F"/>
    <w:rsid w:val="007C43BC"/>
    <w:rsid w:val="007C7391"/>
    <w:rsid w:val="007D1799"/>
    <w:rsid w:val="007D2805"/>
    <w:rsid w:val="007D2D93"/>
    <w:rsid w:val="007D4D8D"/>
    <w:rsid w:val="007D6085"/>
    <w:rsid w:val="007E011F"/>
    <w:rsid w:val="007E3CEF"/>
    <w:rsid w:val="007E582D"/>
    <w:rsid w:val="007E59D8"/>
    <w:rsid w:val="007E68BF"/>
    <w:rsid w:val="007E7142"/>
    <w:rsid w:val="007F2187"/>
    <w:rsid w:val="007F37D5"/>
    <w:rsid w:val="007F5394"/>
    <w:rsid w:val="007F6C61"/>
    <w:rsid w:val="00800FAC"/>
    <w:rsid w:val="00803EA2"/>
    <w:rsid w:val="00804110"/>
    <w:rsid w:val="0080719F"/>
    <w:rsid w:val="00807F51"/>
    <w:rsid w:val="00810A17"/>
    <w:rsid w:val="008157C2"/>
    <w:rsid w:val="00816484"/>
    <w:rsid w:val="0082385D"/>
    <w:rsid w:val="008242D0"/>
    <w:rsid w:val="00831688"/>
    <w:rsid w:val="00831CFF"/>
    <w:rsid w:val="0083393F"/>
    <w:rsid w:val="00833E20"/>
    <w:rsid w:val="008342D4"/>
    <w:rsid w:val="00837124"/>
    <w:rsid w:val="00842CD4"/>
    <w:rsid w:val="00843BBC"/>
    <w:rsid w:val="00844A76"/>
    <w:rsid w:val="008459F1"/>
    <w:rsid w:val="008479C2"/>
    <w:rsid w:val="00847B8C"/>
    <w:rsid w:val="00851D64"/>
    <w:rsid w:val="008527A9"/>
    <w:rsid w:val="00852FAC"/>
    <w:rsid w:val="00853784"/>
    <w:rsid w:val="00853E09"/>
    <w:rsid w:val="00855485"/>
    <w:rsid w:val="00860EC8"/>
    <w:rsid w:val="0086137E"/>
    <w:rsid w:val="00862A5A"/>
    <w:rsid w:val="00862D20"/>
    <w:rsid w:val="0086337B"/>
    <w:rsid w:val="00863842"/>
    <w:rsid w:val="00864355"/>
    <w:rsid w:val="00865AEE"/>
    <w:rsid w:val="00867574"/>
    <w:rsid w:val="00870771"/>
    <w:rsid w:val="008712A3"/>
    <w:rsid w:val="0087229B"/>
    <w:rsid w:val="00872619"/>
    <w:rsid w:val="008728FB"/>
    <w:rsid w:val="00881986"/>
    <w:rsid w:val="00881AE8"/>
    <w:rsid w:val="00882834"/>
    <w:rsid w:val="008833FD"/>
    <w:rsid w:val="00885F5A"/>
    <w:rsid w:val="00886672"/>
    <w:rsid w:val="00892876"/>
    <w:rsid w:val="00894DC9"/>
    <w:rsid w:val="008953A0"/>
    <w:rsid w:val="0089558A"/>
    <w:rsid w:val="00896C4A"/>
    <w:rsid w:val="00897C0E"/>
    <w:rsid w:val="008A022D"/>
    <w:rsid w:val="008A22F5"/>
    <w:rsid w:val="008A25DA"/>
    <w:rsid w:val="008A3CEB"/>
    <w:rsid w:val="008A63F2"/>
    <w:rsid w:val="008B0695"/>
    <w:rsid w:val="008B1229"/>
    <w:rsid w:val="008B6398"/>
    <w:rsid w:val="008B64D2"/>
    <w:rsid w:val="008B7F8B"/>
    <w:rsid w:val="008C004F"/>
    <w:rsid w:val="008C12B1"/>
    <w:rsid w:val="008C2AA4"/>
    <w:rsid w:val="008C471B"/>
    <w:rsid w:val="008C6CDB"/>
    <w:rsid w:val="008C7E1B"/>
    <w:rsid w:val="008D0EF1"/>
    <w:rsid w:val="008D164D"/>
    <w:rsid w:val="008D2821"/>
    <w:rsid w:val="008D3AD8"/>
    <w:rsid w:val="008D4678"/>
    <w:rsid w:val="008D4AC9"/>
    <w:rsid w:val="008D51BC"/>
    <w:rsid w:val="008D757A"/>
    <w:rsid w:val="008D7763"/>
    <w:rsid w:val="008D78DB"/>
    <w:rsid w:val="008E355D"/>
    <w:rsid w:val="008E491F"/>
    <w:rsid w:val="008E4A00"/>
    <w:rsid w:val="008E4C56"/>
    <w:rsid w:val="008E779F"/>
    <w:rsid w:val="008F1E9D"/>
    <w:rsid w:val="008F328F"/>
    <w:rsid w:val="008F733C"/>
    <w:rsid w:val="009010EB"/>
    <w:rsid w:val="00905EB4"/>
    <w:rsid w:val="00907365"/>
    <w:rsid w:val="0090745F"/>
    <w:rsid w:val="00910633"/>
    <w:rsid w:val="0091429B"/>
    <w:rsid w:val="009155D1"/>
    <w:rsid w:val="00915D16"/>
    <w:rsid w:val="009176E3"/>
    <w:rsid w:val="00917F56"/>
    <w:rsid w:val="00920BA9"/>
    <w:rsid w:val="00921C58"/>
    <w:rsid w:val="00925585"/>
    <w:rsid w:val="00927104"/>
    <w:rsid w:val="009309BA"/>
    <w:rsid w:val="00931753"/>
    <w:rsid w:val="00933960"/>
    <w:rsid w:val="0093617C"/>
    <w:rsid w:val="00936C6B"/>
    <w:rsid w:val="009406A7"/>
    <w:rsid w:val="009408CD"/>
    <w:rsid w:val="00941CF8"/>
    <w:rsid w:val="00942878"/>
    <w:rsid w:val="009428AA"/>
    <w:rsid w:val="00942979"/>
    <w:rsid w:val="00945FEE"/>
    <w:rsid w:val="00946861"/>
    <w:rsid w:val="0095200B"/>
    <w:rsid w:val="009527DD"/>
    <w:rsid w:val="0095408A"/>
    <w:rsid w:val="00954C4C"/>
    <w:rsid w:val="00955620"/>
    <w:rsid w:val="00956237"/>
    <w:rsid w:val="00956441"/>
    <w:rsid w:val="009610D9"/>
    <w:rsid w:val="0096168B"/>
    <w:rsid w:val="00961798"/>
    <w:rsid w:val="0096189B"/>
    <w:rsid w:val="00962C19"/>
    <w:rsid w:val="00962E9F"/>
    <w:rsid w:val="009662F6"/>
    <w:rsid w:val="009663A0"/>
    <w:rsid w:val="00970080"/>
    <w:rsid w:val="0097177A"/>
    <w:rsid w:val="00974CA4"/>
    <w:rsid w:val="00975936"/>
    <w:rsid w:val="00977610"/>
    <w:rsid w:val="00981898"/>
    <w:rsid w:val="00983DD9"/>
    <w:rsid w:val="00984BF8"/>
    <w:rsid w:val="009852E7"/>
    <w:rsid w:val="009875FC"/>
    <w:rsid w:val="009901C3"/>
    <w:rsid w:val="00990318"/>
    <w:rsid w:val="00990A6C"/>
    <w:rsid w:val="0099206B"/>
    <w:rsid w:val="0099212C"/>
    <w:rsid w:val="009936F1"/>
    <w:rsid w:val="00994FD7"/>
    <w:rsid w:val="009958E8"/>
    <w:rsid w:val="00996EE0"/>
    <w:rsid w:val="00997E55"/>
    <w:rsid w:val="009A3A24"/>
    <w:rsid w:val="009A65AC"/>
    <w:rsid w:val="009A66CC"/>
    <w:rsid w:val="009B0CF2"/>
    <w:rsid w:val="009B37B2"/>
    <w:rsid w:val="009B38EA"/>
    <w:rsid w:val="009C103A"/>
    <w:rsid w:val="009C1B4A"/>
    <w:rsid w:val="009C27AE"/>
    <w:rsid w:val="009C5A68"/>
    <w:rsid w:val="009C5B54"/>
    <w:rsid w:val="009C7A2C"/>
    <w:rsid w:val="009D02C8"/>
    <w:rsid w:val="009D0498"/>
    <w:rsid w:val="009D058C"/>
    <w:rsid w:val="009D1505"/>
    <w:rsid w:val="009D2413"/>
    <w:rsid w:val="009D5D65"/>
    <w:rsid w:val="009D6053"/>
    <w:rsid w:val="009D7723"/>
    <w:rsid w:val="009D782A"/>
    <w:rsid w:val="009E2BB0"/>
    <w:rsid w:val="009E2E34"/>
    <w:rsid w:val="009E3704"/>
    <w:rsid w:val="009E37C1"/>
    <w:rsid w:val="009E4D81"/>
    <w:rsid w:val="009E53DA"/>
    <w:rsid w:val="009F1B35"/>
    <w:rsid w:val="009F4486"/>
    <w:rsid w:val="009F6515"/>
    <w:rsid w:val="009F6647"/>
    <w:rsid w:val="00A0077F"/>
    <w:rsid w:val="00A0111F"/>
    <w:rsid w:val="00A030DF"/>
    <w:rsid w:val="00A03C54"/>
    <w:rsid w:val="00A046A9"/>
    <w:rsid w:val="00A05C79"/>
    <w:rsid w:val="00A060C0"/>
    <w:rsid w:val="00A06774"/>
    <w:rsid w:val="00A126F6"/>
    <w:rsid w:val="00A14A73"/>
    <w:rsid w:val="00A16624"/>
    <w:rsid w:val="00A17C75"/>
    <w:rsid w:val="00A205C9"/>
    <w:rsid w:val="00A21403"/>
    <w:rsid w:val="00A236AE"/>
    <w:rsid w:val="00A23D75"/>
    <w:rsid w:val="00A2468F"/>
    <w:rsid w:val="00A25254"/>
    <w:rsid w:val="00A26C27"/>
    <w:rsid w:val="00A26F89"/>
    <w:rsid w:val="00A27F47"/>
    <w:rsid w:val="00A30764"/>
    <w:rsid w:val="00A31659"/>
    <w:rsid w:val="00A31E06"/>
    <w:rsid w:val="00A32519"/>
    <w:rsid w:val="00A327E7"/>
    <w:rsid w:val="00A37CA6"/>
    <w:rsid w:val="00A40709"/>
    <w:rsid w:val="00A40808"/>
    <w:rsid w:val="00A420B5"/>
    <w:rsid w:val="00A42FE7"/>
    <w:rsid w:val="00A430F1"/>
    <w:rsid w:val="00A43D30"/>
    <w:rsid w:val="00A44181"/>
    <w:rsid w:val="00A446F3"/>
    <w:rsid w:val="00A46A26"/>
    <w:rsid w:val="00A46AAE"/>
    <w:rsid w:val="00A47ED9"/>
    <w:rsid w:val="00A50AD5"/>
    <w:rsid w:val="00A51C61"/>
    <w:rsid w:val="00A53677"/>
    <w:rsid w:val="00A65B4F"/>
    <w:rsid w:val="00A66E94"/>
    <w:rsid w:val="00A676BD"/>
    <w:rsid w:val="00A67F3E"/>
    <w:rsid w:val="00A70DD2"/>
    <w:rsid w:val="00A71DF7"/>
    <w:rsid w:val="00A73BB0"/>
    <w:rsid w:val="00A73CB2"/>
    <w:rsid w:val="00A75FC4"/>
    <w:rsid w:val="00A7680D"/>
    <w:rsid w:val="00A77F41"/>
    <w:rsid w:val="00A8047B"/>
    <w:rsid w:val="00A81736"/>
    <w:rsid w:val="00A83631"/>
    <w:rsid w:val="00A837A8"/>
    <w:rsid w:val="00A83A3D"/>
    <w:rsid w:val="00A9079C"/>
    <w:rsid w:val="00A93F64"/>
    <w:rsid w:val="00A96905"/>
    <w:rsid w:val="00AA0684"/>
    <w:rsid w:val="00AA1CEB"/>
    <w:rsid w:val="00AA2D4E"/>
    <w:rsid w:val="00AA3D7E"/>
    <w:rsid w:val="00AA473B"/>
    <w:rsid w:val="00AA519A"/>
    <w:rsid w:val="00AA5A91"/>
    <w:rsid w:val="00AB0BF0"/>
    <w:rsid w:val="00AB0F15"/>
    <w:rsid w:val="00AB182D"/>
    <w:rsid w:val="00AB4AFB"/>
    <w:rsid w:val="00AB51D5"/>
    <w:rsid w:val="00AB53EA"/>
    <w:rsid w:val="00AB5F34"/>
    <w:rsid w:val="00AB7DFE"/>
    <w:rsid w:val="00AB7E2D"/>
    <w:rsid w:val="00AC14DF"/>
    <w:rsid w:val="00AC2235"/>
    <w:rsid w:val="00AC4C07"/>
    <w:rsid w:val="00AC4C14"/>
    <w:rsid w:val="00AC4CDD"/>
    <w:rsid w:val="00AC54B9"/>
    <w:rsid w:val="00AC5705"/>
    <w:rsid w:val="00AC5715"/>
    <w:rsid w:val="00AD0DFD"/>
    <w:rsid w:val="00AD23EF"/>
    <w:rsid w:val="00AD2D0B"/>
    <w:rsid w:val="00AD56CC"/>
    <w:rsid w:val="00AD5809"/>
    <w:rsid w:val="00AE0DB0"/>
    <w:rsid w:val="00AE4C0A"/>
    <w:rsid w:val="00AE516A"/>
    <w:rsid w:val="00AE5780"/>
    <w:rsid w:val="00AE583E"/>
    <w:rsid w:val="00AE5986"/>
    <w:rsid w:val="00AE5B35"/>
    <w:rsid w:val="00AE7AE4"/>
    <w:rsid w:val="00AF1195"/>
    <w:rsid w:val="00AF1C53"/>
    <w:rsid w:val="00AF260D"/>
    <w:rsid w:val="00AF3AF8"/>
    <w:rsid w:val="00AF48E4"/>
    <w:rsid w:val="00AF6395"/>
    <w:rsid w:val="00AF79A6"/>
    <w:rsid w:val="00B00706"/>
    <w:rsid w:val="00B01D1C"/>
    <w:rsid w:val="00B01EFD"/>
    <w:rsid w:val="00B02365"/>
    <w:rsid w:val="00B04518"/>
    <w:rsid w:val="00B0721E"/>
    <w:rsid w:val="00B07E9B"/>
    <w:rsid w:val="00B113DC"/>
    <w:rsid w:val="00B11640"/>
    <w:rsid w:val="00B130A6"/>
    <w:rsid w:val="00B13EA8"/>
    <w:rsid w:val="00B145D1"/>
    <w:rsid w:val="00B146F1"/>
    <w:rsid w:val="00B14757"/>
    <w:rsid w:val="00B20DC0"/>
    <w:rsid w:val="00B227C3"/>
    <w:rsid w:val="00B23D81"/>
    <w:rsid w:val="00B2449D"/>
    <w:rsid w:val="00B25014"/>
    <w:rsid w:val="00B26777"/>
    <w:rsid w:val="00B26BA0"/>
    <w:rsid w:val="00B27B2D"/>
    <w:rsid w:val="00B27EC6"/>
    <w:rsid w:val="00B30A63"/>
    <w:rsid w:val="00B30C29"/>
    <w:rsid w:val="00B315E9"/>
    <w:rsid w:val="00B3264E"/>
    <w:rsid w:val="00B37CCA"/>
    <w:rsid w:val="00B40FBB"/>
    <w:rsid w:val="00B41330"/>
    <w:rsid w:val="00B422CB"/>
    <w:rsid w:val="00B443A6"/>
    <w:rsid w:val="00B46B8C"/>
    <w:rsid w:val="00B52094"/>
    <w:rsid w:val="00B54B76"/>
    <w:rsid w:val="00B56A7E"/>
    <w:rsid w:val="00B62345"/>
    <w:rsid w:val="00B6278A"/>
    <w:rsid w:val="00B71A55"/>
    <w:rsid w:val="00B71ED0"/>
    <w:rsid w:val="00B73018"/>
    <w:rsid w:val="00B73313"/>
    <w:rsid w:val="00B76108"/>
    <w:rsid w:val="00B77C86"/>
    <w:rsid w:val="00B80360"/>
    <w:rsid w:val="00B84AE7"/>
    <w:rsid w:val="00B869CA"/>
    <w:rsid w:val="00B9000D"/>
    <w:rsid w:val="00B90840"/>
    <w:rsid w:val="00B92188"/>
    <w:rsid w:val="00B923A7"/>
    <w:rsid w:val="00B94E0F"/>
    <w:rsid w:val="00B96C31"/>
    <w:rsid w:val="00B97D3F"/>
    <w:rsid w:val="00BA0B8C"/>
    <w:rsid w:val="00BA2883"/>
    <w:rsid w:val="00BA4E8C"/>
    <w:rsid w:val="00BA5A8F"/>
    <w:rsid w:val="00BA602F"/>
    <w:rsid w:val="00BA6547"/>
    <w:rsid w:val="00BA7691"/>
    <w:rsid w:val="00BB09F8"/>
    <w:rsid w:val="00BB20B6"/>
    <w:rsid w:val="00BB2642"/>
    <w:rsid w:val="00BB4F6A"/>
    <w:rsid w:val="00BB4FFE"/>
    <w:rsid w:val="00BB744C"/>
    <w:rsid w:val="00BB7B22"/>
    <w:rsid w:val="00BC4A6D"/>
    <w:rsid w:val="00BC4FFA"/>
    <w:rsid w:val="00BC62DA"/>
    <w:rsid w:val="00BC7B2B"/>
    <w:rsid w:val="00BD31A5"/>
    <w:rsid w:val="00BD37E2"/>
    <w:rsid w:val="00BD78E3"/>
    <w:rsid w:val="00BD7C90"/>
    <w:rsid w:val="00BE2C51"/>
    <w:rsid w:val="00BE31B7"/>
    <w:rsid w:val="00BE3D0C"/>
    <w:rsid w:val="00BE5155"/>
    <w:rsid w:val="00BE5337"/>
    <w:rsid w:val="00BE5CD6"/>
    <w:rsid w:val="00BF09ED"/>
    <w:rsid w:val="00BF1997"/>
    <w:rsid w:val="00BF266A"/>
    <w:rsid w:val="00BF31C7"/>
    <w:rsid w:val="00BF5D9C"/>
    <w:rsid w:val="00BF634B"/>
    <w:rsid w:val="00BF64C6"/>
    <w:rsid w:val="00C011D9"/>
    <w:rsid w:val="00C01B02"/>
    <w:rsid w:val="00C020D6"/>
    <w:rsid w:val="00C021EB"/>
    <w:rsid w:val="00C022CB"/>
    <w:rsid w:val="00C02305"/>
    <w:rsid w:val="00C02462"/>
    <w:rsid w:val="00C03C2B"/>
    <w:rsid w:val="00C049AC"/>
    <w:rsid w:val="00C05073"/>
    <w:rsid w:val="00C05816"/>
    <w:rsid w:val="00C06009"/>
    <w:rsid w:val="00C078CB"/>
    <w:rsid w:val="00C104EB"/>
    <w:rsid w:val="00C1098E"/>
    <w:rsid w:val="00C11008"/>
    <w:rsid w:val="00C11379"/>
    <w:rsid w:val="00C11D99"/>
    <w:rsid w:val="00C12654"/>
    <w:rsid w:val="00C13777"/>
    <w:rsid w:val="00C13A33"/>
    <w:rsid w:val="00C1642A"/>
    <w:rsid w:val="00C20253"/>
    <w:rsid w:val="00C219B8"/>
    <w:rsid w:val="00C221C6"/>
    <w:rsid w:val="00C241FD"/>
    <w:rsid w:val="00C25D08"/>
    <w:rsid w:val="00C26028"/>
    <w:rsid w:val="00C2679F"/>
    <w:rsid w:val="00C26E86"/>
    <w:rsid w:val="00C27A04"/>
    <w:rsid w:val="00C340D3"/>
    <w:rsid w:val="00C35BF5"/>
    <w:rsid w:val="00C41BEF"/>
    <w:rsid w:val="00C46080"/>
    <w:rsid w:val="00C477C3"/>
    <w:rsid w:val="00C54F3F"/>
    <w:rsid w:val="00C56221"/>
    <w:rsid w:val="00C57366"/>
    <w:rsid w:val="00C60190"/>
    <w:rsid w:val="00C610BF"/>
    <w:rsid w:val="00C62B7B"/>
    <w:rsid w:val="00C6340D"/>
    <w:rsid w:val="00C64BBC"/>
    <w:rsid w:val="00C66374"/>
    <w:rsid w:val="00C66F13"/>
    <w:rsid w:val="00C67774"/>
    <w:rsid w:val="00C7057D"/>
    <w:rsid w:val="00C73143"/>
    <w:rsid w:val="00C7342F"/>
    <w:rsid w:val="00C73E9A"/>
    <w:rsid w:val="00C75D62"/>
    <w:rsid w:val="00C81AC6"/>
    <w:rsid w:val="00C83819"/>
    <w:rsid w:val="00C84048"/>
    <w:rsid w:val="00C857EF"/>
    <w:rsid w:val="00C85A62"/>
    <w:rsid w:val="00C8799B"/>
    <w:rsid w:val="00C918CF"/>
    <w:rsid w:val="00C9445D"/>
    <w:rsid w:val="00C96A7E"/>
    <w:rsid w:val="00CA34F5"/>
    <w:rsid w:val="00CA417D"/>
    <w:rsid w:val="00CA4237"/>
    <w:rsid w:val="00CA4632"/>
    <w:rsid w:val="00CA5D37"/>
    <w:rsid w:val="00CA6BAF"/>
    <w:rsid w:val="00CA7EA9"/>
    <w:rsid w:val="00CB3DA0"/>
    <w:rsid w:val="00CB5608"/>
    <w:rsid w:val="00CB5C77"/>
    <w:rsid w:val="00CB6EA3"/>
    <w:rsid w:val="00CC1D44"/>
    <w:rsid w:val="00CC3F51"/>
    <w:rsid w:val="00CC4222"/>
    <w:rsid w:val="00CC493D"/>
    <w:rsid w:val="00CC57FE"/>
    <w:rsid w:val="00CC5F7C"/>
    <w:rsid w:val="00CD0939"/>
    <w:rsid w:val="00CD1056"/>
    <w:rsid w:val="00CD419B"/>
    <w:rsid w:val="00CD5152"/>
    <w:rsid w:val="00CD630D"/>
    <w:rsid w:val="00CD6BCB"/>
    <w:rsid w:val="00CE033C"/>
    <w:rsid w:val="00CE13EA"/>
    <w:rsid w:val="00CE2823"/>
    <w:rsid w:val="00CE324E"/>
    <w:rsid w:val="00CE511B"/>
    <w:rsid w:val="00CE52B1"/>
    <w:rsid w:val="00CE68CD"/>
    <w:rsid w:val="00CE7786"/>
    <w:rsid w:val="00CE78D2"/>
    <w:rsid w:val="00CE7E32"/>
    <w:rsid w:val="00CF03F1"/>
    <w:rsid w:val="00CF0E64"/>
    <w:rsid w:val="00CF183B"/>
    <w:rsid w:val="00CF31DF"/>
    <w:rsid w:val="00CF6E6A"/>
    <w:rsid w:val="00CF7296"/>
    <w:rsid w:val="00CF75C7"/>
    <w:rsid w:val="00D01F0C"/>
    <w:rsid w:val="00D02E33"/>
    <w:rsid w:val="00D04475"/>
    <w:rsid w:val="00D050C8"/>
    <w:rsid w:val="00D075B1"/>
    <w:rsid w:val="00D11E73"/>
    <w:rsid w:val="00D14AB1"/>
    <w:rsid w:val="00D17CF4"/>
    <w:rsid w:val="00D17FD9"/>
    <w:rsid w:val="00D20359"/>
    <w:rsid w:val="00D20B7A"/>
    <w:rsid w:val="00D219A5"/>
    <w:rsid w:val="00D2210F"/>
    <w:rsid w:val="00D251F1"/>
    <w:rsid w:val="00D2527A"/>
    <w:rsid w:val="00D2572C"/>
    <w:rsid w:val="00D25F10"/>
    <w:rsid w:val="00D2618B"/>
    <w:rsid w:val="00D27E36"/>
    <w:rsid w:val="00D3099B"/>
    <w:rsid w:val="00D32E52"/>
    <w:rsid w:val="00D3414C"/>
    <w:rsid w:val="00D37B4C"/>
    <w:rsid w:val="00D40F23"/>
    <w:rsid w:val="00D41A00"/>
    <w:rsid w:val="00D42326"/>
    <w:rsid w:val="00D43535"/>
    <w:rsid w:val="00D4542F"/>
    <w:rsid w:val="00D476F2"/>
    <w:rsid w:val="00D50701"/>
    <w:rsid w:val="00D50DCB"/>
    <w:rsid w:val="00D56446"/>
    <w:rsid w:val="00D572A4"/>
    <w:rsid w:val="00D57B1C"/>
    <w:rsid w:val="00D57DD0"/>
    <w:rsid w:val="00D639BD"/>
    <w:rsid w:val="00D64154"/>
    <w:rsid w:val="00D65ACB"/>
    <w:rsid w:val="00D67C50"/>
    <w:rsid w:val="00D67E7E"/>
    <w:rsid w:val="00D7101B"/>
    <w:rsid w:val="00D71DDC"/>
    <w:rsid w:val="00D72784"/>
    <w:rsid w:val="00D72E05"/>
    <w:rsid w:val="00D734B1"/>
    <w:rsid w:val="00D73781"/>
    <w:rsid w:val="00D73A97"/>
    <w:rsid w:val="00D73B99"/>
    <w:rsid w:val="00D7629E"/>
    <w:rsid w:val="00D77CB6"/>
    <w:rsid w:val="00D800BB"/>
    <w:rsid w:val="00D85F81"/>
    <w:rsid w:val="00D90459"/>
    <w:rsid w:val="00D90566"/>
    <w:rsid w:val="00D90F8B"/>
    <w:rsid w:val="00D921C3"/>
    <w:rsid w:val="00D9221C"/>
    <w:rsid w:val="00D9251F"/>
    <w:rsid w:val="00D93859"/>
    <w:rsid w:val="00D93909"/>
    <w:rsid w:val="00D96711"/>
    <w:rsid w:val="00D96F0B"/>
    <w:rsid w:val="00D97149"/>
    <w:rsid w:val="00D97A7D"/>
    <w:rsid w:val="00DA1458"/>
    <w:rsid w:val="00DA26E3"/>
    <w:rsid w:val="00DA4DAD"/>
    <w:rsid w:val="00DB07D6"/>
    <w:rsid w:val="00DB29AB"/>
    <w:rsid w:val="00DB2F0B"/>
    <w:rsid w:val="00DB3832"/>
    <w:rsid w:val="00DB3FB4"/>
    <w:rsid w:val="00DB47BC"/>
    <w:rsid w:val="00DB51E9"/>
    <w:rsid w:val="00DB782A"/>
    <w:rsid w:val="00DB7B55"/>
    <w:rsid w:val="00DC18B0"/>
    <w:rsid w:val="00DC20B8"/>
    <w:rsid w:val="00DD456B"/>
    <w:rsid w:val="00DD605A"/>
    <w:rsid w:val="00DD78DB"/>
    <w:rsid w:val="00DE0DDA"/>
    <w:rsid w:val="00DE1E6E"/>
    <w:rsid w:val="00DE2E0A"/>
    <w:rsid w:val="00DE486C"/>
    <w:rsid w:val="00DF1223"/>
    <w:rsid w:val="00DF13D1"/>
    <w:rsid w:val="00DF313A"/>
    <w:rsid w:val="00DF4011"/>
    <w:rsid w:val="00DF6332"/>
    <w:rsid w:val="00DF6BAA"/>
    <w:rsid w:val="00DF7EBB"/>
    <w:rsid w:val="00E003DD"/>
    <w:rsid w:val="00E00553"/>
    <w:rsid w:val="00E015F6"/>
    <w:rsid w:val="00E029D6"/>
    <w:rsid w:val="00E02F5B"/>
    <w:rsid w:val="00E0393D"/>
    <w:rsid w:val="00E04848"/>
    <w:rsid w:val="00E04ED6"/>
    <w:rsid w:val="00E070D5"/>
    <w:rsid w:val="00E07632"/>
    <w:rsid w:val="00E11330"/>
    <w:rsid w:val="00E1211B"/>
    <w:rsid w:val="00E127AE"/>
    <w:rsid w:val="00E12CDD"/>
    <w:rsid w:val="00E143B3"/>
    <w:rsid w:val="00E15D8D"/>
    <w:rsid w:val="00E16F8F"/>
    <w:rsid w:val="00E2223B"/>
    <w:rsid w:val="00E25059"/>
    <w:rsid w:val="00E2600E"/>
    <w:rsid w:val="00E2734A"/>
    <w:rsid w:val="00E273AD"/>
    <w:rsid w:val="00E3375B"/>
    <w:rsid w:val="00E373DF"/>
    <w:rsid w:val="00E3754D"/>
    <w:rsid w:val="00E37550"/>
    <w:rsid w:val="00E40028"/>
    <w:rsid w:val="00E41AC3"/>
    <w:rsid w:val="00E43462"/>
    <w:rsid w:val="00E4355B"/>
    <w:rsid w:val="00E43768"/>
    <w:rsid w:val="00E458FC"/>
    <w:rsid w:val="00E466AC"/>
    <w:rsid w:val="00E47989"/>
    <w:rsid w:val="00E479CC"/>
    <w:rsid w:val="00E513DB"/>
    <w:rsid w:val="00E5175F"/>
    <w:rsid w:val="00E525BA"/>
    <w:rsid w:val="00E56FD8"/>
    <w:rsid w:val="00E573D8"/>
    <w:rsid w:val="00E61D82"/>
    <w:rsid w:val="00E63CBF"/>
    <w:rsid w:val="00E63F07"/>
    <w:rsid w:val="00E7198C"/>
    <w:rsid w:val="00E723A1"/>
    <w:rsid w:val="00E74639"/>
    <w:rsid w:val="00E74F03"/>
    <w:rsid w:val="00E7543D"/>
    <w:rsid w:val="00E75BBA"/>
    <w:rsid w:val="00E75DBE"/>
    <w:rsid w:val="00E80758"/>
    <w:rsid w:val="00E80BC8"/>
    <w:rsid w:val="00E81202"/>
    <w:rsid w:val="00E831E4"/>
    <w:rsid w:val="00E84954"/>
    <w:rsid w:val="00E918A9"/>
    <w:rsid w:val="00E9373C"/>
    <w:rsid w:val="00E946DB"/>
    <w:rsid w:val="00E94E2C"/>
    <w:rsid w:val="00E965CA"/>
    <w:rsid w:val="00EA1CFF"/>
    <w:rsid w:val="00EA1F76"/>
    <w:rsid w:val="00EA3739"/>
    <w:rsid w:val="00EA480F"/>
    <w:rsid w:val="00EA613C"/>
    <w:rsid w:val="00EB3B33"/>
    <w:rsid w:val="00EB3E47"/>
    <w:rsid w:val="00EB3F84"/>
    <w:rsid w:val="00EB475E"/>
    <w:rsid w:val="00EB579C"/>
    <w:rsid w:val="00EB6419"/>
    <w:rsid w:val="00EB6F95"/>
    <w:rsid w:val="00EC2B85"/>
    <w:rsid w:val="00EC2C39"/>
    <w:rsid w:val="00EC4F0F"/>
    <w:rsid w:val="00EC6450"/>
    <w:rsid w:val="00EC678A"/>
    <w:rsid w:val="00ED089D"/>
    <w:rsid w:val="00ED1341"/>
    <w:rsid w:val="00ED137B"/>
    <w:rsid w:val="00ED3D9A"/>
    <w:rsid w:val="00EE0B8C"/>
    <w:rsid w:val="00EE1D5F"/>
    <w:rsid w:val="00EE2C5F"/>
    <w:rsid w:val="00EE315B"/>
    <w:rsid w:val="00EE3296"/>
    <w:rsid w:val="00EE4185"/>
    <w:rsid w:val="00EE45EF"/>
    <w:rsid w:val="00EE46E3"/>
    <w:rsid w:val="00EE4C74"/>
    <w:rsid w:val="00EE56C5"/>
    <w:rsid w:val="00EF022F"/>
    <w:rsid w:val="00EF1794"/>
    <w:rsid w:val="00EF1B10"/>
    <w:rsid w:val="00EF3718"/>
    <w:rsid w:val="00EF512B"/>
    <w:rsid w:val="00EF7CB5"/>
    <w:rsid w:val="00F0139A"/>
    <w:rsid w:val="00F02036"/>
    <w:rsid w:val="00F049AC"/>
    <w:rsid w:val="00F04E27"/>
    <w:rsid w:val="00F073CC"/>
    <w:rsid w:val="00F10390"/>
    <w:rsid w:val="00F11B73"/>
    <w:rsid w:val="00F13B65"/>
    <w:rsid w:val="00F13B66"/>
    <w:rsid w:val="00F13ED2"/>
    <w:rsid w:val="00F15842"/>
    <w:rsid w:val="00F1646D"/>
    <w:rsid w:val="00F16AC6"/>
    <w:rsid w:val="00F16FEC"/>
    <w:rsid w:val="00F21F1D"/>
    <w:rsid w:val="00F2344F"/>
    <w:rsid w:val="00F236D3"/>
    <w:rsid w:val="00F2382A"/>
    <w:rsid w:val="00F23B53"/>
    <w:rsid w:val="00F264AC"/>
    <w:rsid w:val="00F30299"/>
    <w:rsid w:val="00F341C4"/>
    <w:rsid w:val="00F342A9"/>
    <w:rsid w:val="00F34457"/>
    <w:rsid w:val="00F34777"/>
    <w:rsid w:val="00F360A5"/>
    <w:rsid w:val="00F36309"/>
    <w:rsid w:val="00F36BE2"/>
    <w:rsid w:val="00F40096"/>
    <w:rsid w:val="00F409B0"/>
    <w:rsid w:val="00F412F1"/>
    <w:rsid w:val="00F4250F"/>
    <w:rsid w:val="00F4418F"/>
    <w:rsid w:val="00F449E0"/>
    <w:rsid w:val="00F44DD3"/>
    <w:rsid w:val="00F4505A"/>
    <w:rsid w:val="00F46489"/>
    <w:rsid w:val="00F533A8"/>
    <w:rsid w:val="00F546E4"/>
    <w:rsid w:val="00F55E3B"/>
    <w:rsid w:val="00F569E7"/>
    <w:rsid w:val="00F56BB4"/>
    <w:rsid w:val="00F60120"/>
    <w:rsid w:val="00F608A8"/>
    <w:rsid w:val="00F644B9"/>
    <w:rsid w:val="00F6587D"/>
    <w:rsid w:val="00F67E79"/>
    <w:rsid w:val="00F7121B"/>
    <w:rsid w:val="00F72BBA"/>
    <w:rsid w:val="00F7451A"/>
    <w:rsid w:val="00F754CE"/>
    <w:rsid w:val="00F75B20"/>
    <w:rsid w:val="00F7661E"/>
    <w:rsid w:val="00F802C6"/>
    <w:rsid w:val="00F80C98"/>
    <w:rsid w:val="00F815C7"/>
    <w:rsid w:val="00F83062"/>
    <w:rsid w:val="00F84484"/>
    <w:rsid w:val="00F90DE4"/>
    <w:rsid w:val="00F921E0"/>
    <w:rsid w:val="00F922E6"/>
    <w:rsid w:val="00F95329"/>
    <w:rsid w:val="00F95EED"/>
    <w:rsid w:val="00F965BE"/>
    <w:rsid w:val="00F96E38"/>
    <w:rsid w:val="00FA0290"/>
    <w:rsid w:val="00FA096A"/>
    <w:rsid w:val="00FA4A11"/>
    <w:rsid w:val="00FA7179"/>
    <w:rsid w:val="00FA75AB"/>
    <w:rsid w:val="00FA7E83"/>
    <w:rsid w:val="00FA7F4D"/>
    <w:rsid w:val="00FB2AA7"/>
    <w:rsid w:val="00FB2B3E"/>
    <w:rsid w:val="00FB33F4"/>
    <w:rsid w:val="00FB36D3"/>
    <w:rsid w:val="00FB3ACE"/>
    <w:rsid w:val="00FB5E49"/>
    <w:rsid w:val="00FB663D"/>
    <w:rsid w:val="00FB6A54"/>
    <w:rsid w:val="00FB7515"/>
    <w:rsid w:val="00FC0072"/>
    <w:rsid w:val="00FC220F"/>
    <w:rsid w:val="00FC28D9"/>
    <w:rsid w:val="00FC303C"/>
    <w:rsid w:val="00FC419F"/>
    <w:rsid w:val="00FC42EA"/>
    <w:rsid w:val="00FC48D1"/>
    <w:rsid w:val="00FC60F6"/>
    <w:rsid w:val="00FC6B3A"/>
    <w:rsid w:val="00FD1EF0"/>
    <w:rsid w:val="00FD3CFB"/>
    <w:rsid w:val="00FD515E"/>
    <w:rsid w:val="00FE232E"/>
    <w:rsid w:val="00FE54AC"/>
    <w:rsid w:val="00FE750A"/>
    <w:rsid w:val="00FE7DFF"/>
    <w:rsid w:val="00FF2493"/>
    <w:rsid w:val="00FF505F"/>
    <w:rsid w:val="00FF5B9C"/>
    <w:rsid w:val="00FF6F1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7227-0C8D-4DEC-A6E0-EA28F11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8FB"/>
  </w:style>
  <w:style w:type="paragraph" w:styleId="a8">
    <w:name w:val="footer"/>
    <w:basedOn w:val="a"/>
    <w:link w:val="a9"/>
    <w:uiPriority w:val="99"/>
    <w:unhideWhenUsed/>
    <w:rsid w:val="0087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8FB"/>
  </w:style>
  <w:style w:type="paragraph" w:styleId="aa">
    <w:name w:val="List Paragraph"/>
    <w:basedOn w:val="a"/>
    <w:uiPriority w:val="34"/>
    <w:qFormat/>
    <w:rsid w:val="00D4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3210-BD85-453B-80AE-8C3E3E95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2023-11-24T05:19:00Z</cp:lastPrinted>
  <dcterms:created xsi:type="dcterms:W3CDTF">2023-11-28T09:30:00Z</dcterms:created>
  <dcterms:modified xsi:type="dcterms:W3CDTF">2023-11-28T09:48:00Z</dcterms:modified>
</cp:coreProperties>
</file>