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F6" w:rsidRPr="00906603" w:rsidRDefault="005241F6" w:rsidP="005241F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06603">
        <w:rPr>
          <w:sz w:val="26"/>
          <w:szCs w:val="26"/>
        </w:rPr>
        <w:t>Актуальная редакция (</w:t>
      </w:r>
      <w:r w:rsidR="00AA57AD" w:rsidRPr="00AA57AD">
        <w:rPr>
          <w:sz w:val="26"/>
          <w:szCs w:val="26"/>
          <w:lang w:bidi="ru-RU"/>
        </w:rPr>
        <w:t xml:space="preserve">от </w:t>
      </w:r>
      <w:r w:rsidR="00CF32C2">
        <w:rPr>
          <w:sz w:val="26"/>
          <w:szCs w:val="26"/>
          <w:lang w:bidi="ru-RU"/>
        </w:rPr>
        <w:t>01</w:t>
      </w:r>
      <w:r w:rsidR="00122FA1">
        <w:rPr>
          <w:sz w:val="26"/>
          <w:szCs w:val="26"/>
          <w:lang w:bidi="ru-RU"/>
        </w:rPr>
        <w:t>.1</w:t>
      </w:r>
      <w:r w:rsidR="00CF32C2">
        <w:rPr>
          <w:sz w:val="26"/>
          <w:szCs w:val="26"/>
          <w:lang w:bidi="ru-RU"/>
        </w:rPr>
        <w:t>1</w:t>
      </w:r>
      <w:r w:rsidR="00AA57AD" w:rsidRPr="00AA57AD">
        <w:rPr>
          <w:sz w:val="26"/>
          <w:szCs w:val="26"/>
          <w:lang w:bidi="ru-RU"/>
        </w:rPr>
        <w:t>.2024 №</w:t>
      </w:r>
      <w:r w:rsidR="00CF32C2">
        <w:rPr>
          <w:sz w:val="26"/>
          <w:szCs w:val="26"/>
          <w:lang w:bidi="ru-RU"/>
        </w:rPr>
        <w:t>2067</w:t>
      </w:r>
      <w:r w:rsidRPr="00906603">
        <w:rPr>
          <w:sz w:val="26"/>
          <w:szCs w:val="26"/>
          <w:lang w:bidi="ru-RU"/>
        </w:rPr>
        <w:t>)</w:t>
      </w:r>
    </w:p>
    <w:p w:rsidR="00A43D58" w:rsidRDefault="00A43D58" w:rsidP="0066122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1227" w:rsidRPr="00661227" w:rsidRDefault="00661227" w:rsidP="0066122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61227">
        <w:rPr>
          <w:sz w:val="26"/>
          <w:szCs w:val="26"/>
        </w:rPr>
        <w:t xml:space="preserve">Паспорт </w:t>
      </w:r>
    </w:p>
    <w:p w:rsidR="00661227" w:rsidRPr="00661227" w:rsidRDefault="00661227" w:rsidP="0066122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61227">
        <w:rPr>
          <w:sz w:val="26"/>
          <w:szCs w:val="26"/>
        </w:rPr>
        <w:t xml:space="preserve">муниципальной программы </w:t>
      </w:r>
    </w:p>
    <w:p w:rsidR="00661227" w:rsidRPr="00661227" w:rsidRDefault="00661227" w:rsidP="0066122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61227">
        <w:rPr>
          <w:sz w:val="26"/>
          <w:szCs w:val="26"/>
        </w:rPr>
        <w:t xml:space="preserve">города Когалыма «Содержание объектов городского хозяйства и инженерной инфраструктуры в городе Когалыме» </w:t>
      </w:r>
    </w:p>
    <w:p w:rsidR="00661227" w:rsidRPr="00661227" w:rsidRDefault="00661227" w:rsidP="0066122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61227">
        <w:rPr>
          <w:sz w:val="26"/>
          <w:szCs w:val="26"/>
        </w:rPr>
        <w:t>(далее – муниципальная программа)</w:t>
      </w:r>
    </w:p>
    <w:p w:rsidR="00661227" w:rsidRPr="00661227" w:rsidRDefault="00661227" w:rsidP="00661227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225"/>
        <w:gridCol w:w="4806"/>
        <w:gridCol w:w="3205"/>
      </w:tblGrid>
      <w:tr w:rsidR="00661227" w:rsidRPr="00661227" w:rsidTr="00661227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61227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Содержание объектов городского хозяйства и инженерной инфраструктуры в городе Когалыме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61227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2024-2028 годы</w:t>
            </w:r>
          </w:p>
        </w:tc>
      </w:tr>
      <w:tr w:rsidR="00661227" w:rsidRPr="00661227" w:rsidTr="00661227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61227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 xml:space="preserve">Заместитель главы города Когалыма </w:t>
            </w:r>
            <w:r w:rsidRPr="00661227">
              <w:rPr>
                <w:bCs/>
                <w:sz w:val="22"/>
                <w:szCs w:val="22"/>
              </w:rPr>
              <w:t>Морозов Александр Александрович</w:t>
            </w:r>
          </w:p>
        </w:tc>
      </w:tr>
      <w:tr w:rsidR="00661227" w:rsidRPr="00661227" w:rsidTr="00661227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27" w:rsidRPr="00661227" w:rsidRDefault="00661227" w:rsidP="00661227">
            <w:pPr>
              <w:rPr>
                <w:bCs/>
                <w:sz w:val="22"/>
                <w:szCs w:val="22"/>
              </w:rPr>
            </w:pPr>
            <w:r w:rsidRPr="00661227">
              <w:rPr>
                <w:bCs/>
                <w:sz w:val="22"/>
                <w:szCs w:val="22"/>
              </w:rPr>
              <w:t>Ответственный исполнитель  муниципальной программы</w:t>
            </w: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27" w:rsidRPr="00661227" w:rsidRDefault="00661227" w:rsidP="00661227">
            <w:pPr>
              <w:jc w:val="both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Муниципальное казённое учреждение «Управление капитального строительства и жилищно-коммунального комплекса города Когалыма» (далее – МКУ «УКС и ЖКК г.Когалыма»)</w:t>
            </w:r>
          </w:p>
        </w:tc>
      </w:tr>
      <w:tr w:rsidR="00661227" w:rsidRPr="00661227" w:rsidTr="00661227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61227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3898" w:type="pct"/>
            <w:gridSpan w:val="3"/>
            <w:tcBorders>
              <w:right w:val="single" w:sz="4" w:space="0" w:color="auto"/>
            </w:tcBorders>
          </w:tcPr>
          <w:p w:rsidR="00A90FB5" w:rsidRPr="00A90FB5" w:rsidRDefault="00A90FB5" w:rsidP="00A90FB5">
            <w:pPr>
              <w:tabs>
                <w:tab w:val="left" w:pos="376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A90FB5">
              <w:rPr>
                <w:spacing w:val="-6"/>
                <w:sz w:val="22"/>
                <w:szCs w:val="22"/>
              </w:rPr>
              <w:t>Муниципальное бюджетное учреждение «Коммунспецавтотехника» (далее – МБУ «КСАТ»);</w:t>
            </w:r>
          </w:p>
          <w:p w:rsidR="00525E8E" w:rsidRPr="00661227" w:rsidRDefault="00A90FB5" w:rsidP="00A90FB5">
            <w:pPr>
              <w:tabs>
                <w:tab w:val="left" w:pos="376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A90FB5">
              <w:rPr>
                <w:spacing w:val="-6"/>
                <w:sz w:val="22"/>
                <w:szCs w:val="22"/>
              </w:rPr>
              <w:t>Отдел архитектуры и градостроительства Администрации города Когалыма (далее – ОАиГ).</w:t>
            </w:r>
          </w:p>
        </w:tc>
      </w:tr>
      <w:tr w:rsidR="00661227" w:rsidRPr="00661227" w:rsidTr="00661227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Национальная цель</w:t>
            </w: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-</w:t>
            </w:r>
          </w:p>
        </w:tc>
      </w:tr>
      <w:tr w:rsidR="00661227" w:rsidRPr="00661227" w:rsidTr="00661227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61227">
              <w:rPr>
                <w:sz w:val="22"/>
                <w:szCs w:val="22"/>
              </w:rPr>
              <w:t xml:space="preserve">Цель муниципальной программы </w:t>
            </w: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Комплексное решение проблем благоустройства и санитарного содержания территории города Когалыма, повышение уровня внешнего благоустройства, создание условий для решения вопросов местного значения, обеспечение благополучной эпизоотической обстановки в городе Когалыме.</w:t>
            </w:r>
          </w:p>
        </w:tc>
      </w:tr>
      <w:tr w:rsidR="00661227" w:rsidRPr="00661227" w:rsidTr="00661227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61227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 xml:space="preserve">1. Организация благоустройства территории города Когалыма, включая озеленение территории, создание и содержание объектов городского хозяйства города Когалыма. </w:t>
            </w:r>
          </w:p>
          <w:p w:rsidR="00661227" w:rsidRPr="00661227" w:rsidRDefault="00661227" w:rsidP="006612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2. Обеспечение деятельности муниципальных учреждений для решения вопросов местного значения.</w:t>
            </w:r>
          </w:p>
          <w:p w:rsidR="00661227" w:rsidRPr="00661227" w:rsidRDefault="00661227" w:rsidP="006612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 xml:space="preserve">3.Обеспечение стабильной благополучной эпизоотической обстановки в городе Когалыме, включая защиту населения от болезней, общих для человека и животных.   </w:t>
            </w:r>
          </w:p>
        </w:tc>
      </w:tr>
    </w:tbl>
    <w:p w:rsidR="00661227" w:rsidRPr="00661227" w:rsidRDefault="00661227" w:rsidP="00661227">
      <w:pPr>
        <w:autoSpaceDE w:val="0"/>
        <w:autoSpaceDN w:val="0"/>
        <w:adjustRightInd w:val="0"/>
        <w:rPr>
          <w:sz w:val="22"/>
          <w:szCs w:val="22"/>
        </w:rPr>
        <w:sectPr w:rsidR="00661227" w:rsidRPr="00661227" w:rsidSect="00333B0C">
          <w:headerReference w:type="default" r:id="rId8"/>
          <w:pgSz w:w="16838" w:h="11906" w:orient="landscape" w:code="9"/>
          <w:pgMar w:top="2552" w:right="567" w:bottom="567" w:left="567" w:header="709" w:footer="709" w:gutter="0"/>
          <w:pgNumType w:start="3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33"/>
        <w:gridCol w:w="430"/>
        <w:gridCol w:w="1692"/>
        <w:gridCol w:w="2756"/>
        <w:gridCol w:w="992"/>
        <w:gridCol w:w="860"/>
        <w:gridCol w:w="860"/>
        <w:gridCol w:w="860"/>
        <w:gridCol w:w="860"/>
        <w:gridCol w:w="860"/>
        <w:gridCol w:w="1654"/>
        <w:gridCol w:w="1937"/>
      </w:tblGrid>
      <w:tr w:rsidR="00661227" w:rsidRPr="00661227" w:rsidTr="00661227">
        <w:tc>
          <w:tcPr>
            <w:tcW w:w="616" w:type="pc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61227">
              <w:rPr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4384" w:type="pct"/>
            <w:gridSpan w:val="11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-</w:t>
            </w:r>
          </w:p>
        </w:tc>
      </w:tr>
      <w:tr w:rsidR="00661227" w:rsidRPr="00661227" w:rsidTr="00661227">
        <w:tc>
          <w:tcPr>
            <w:tcW w:w="616" w:type="pct"/>
            <w:vMerge w:val="restar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137" w:type="pct"/>
            <w:vMerge w:val="restar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№ п/п</w:t>
            </w:r>
          </w:p>
        </w:tc>
        <w:tc>
          <w:tcPr>
            <w:tcW w:w="539" w:type="pct"/>
            <w:vMerge w:val="restar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878" w:type="pct"/>
            <w:vMerge w:val="restar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Документ – основание</w:t>
            </w:r>
          </w:p>
        </w:tc>
        <w:tc>
          <w:tcPr>
            <w:tcW w:w="2211" w:type="pct"/>
            <w:gridSpan w:val="7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618" w:type="pc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61227" w:rsidRPr="00661227" w:rsidTr="00661227">
        <w:tc>
          <w:tcPr>
            <w:tcW w:w="616" w:type="pct"/>
            <w:vMerge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vMerge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vMerge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61227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7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2024</w:t>
            </w:r>
          </w:p>
        </w:tc>
        <w:tc>
          <w:tcPr>
            <w:tcW w:w="27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2025</w:t>
            </w:r>
          </w:p>
        </w:tc>
        <w:tc>
          <w:tcPr>
            <w:tcW w:w="27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2026</w:t>
            </w:r>
          </w:p>
        </w:tc>
        <w:tc>
          <w:tcPr>
            <w:tcW w:w="27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2027</w:t>
            </w:r>
          </w:p>
        </w:tc>
        <w:tc>
          <w:tcPr>
            <w:tcW w:w="27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ind w:right="-62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2028</w:t>
            </w:r>
          </w:p>
        </w:tc>
        <w:tc>
          <w:tcPr>
            <w:tcW w:w="527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ind w:right="-62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618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Ответственный исполнитель/ соисполнитель за достижение показателя</w:t>
            </w:r>
          </w:p>
        </w:tc>
      </w:tr>
      <w:tr w:rsidR="00661227" w:rsidRPr="00661227" w:rsidTr="00661227">
        <w:tc>
          <w:tcPr>
            <w:tcW w:w="616" w:type="pct"/>
            <w:vMerge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  <w:lang w:val="en-US"/>
              </w:rPr>
              <w:t>I</w:t>
            </w:r>
            <w:r w:rsidRPr="00661227">
              <w:rPr>
                <w:sz w:val="22"/>
                <w:szCs w:val="22"/>
              </w:rPr>
              <w:t>.</w:t>
            </w:r>
          </w:p>
        </w:tc>
        <w:tc>
          <w:tcPr>
            <w:tcW w:w="539" w:type="pct"/>
            <w:vAlign w:val="center"/>
          </w:tcPr>
          <w:p w:rsidR="00661227" w:rsidRPr="00661227" w:rsidRDefault="00661227" w:rsidP="00661227">
            <w:pPr>
              <w:jc w:val="both"/>
              <w:rPr>
                <w:rFonts w:eastAsiaTheme="minorHAnsi" w:cstheme="minorBidi"/>
                <w:spacing w:val="-6"/>
                <w:sz w:val="22"/>
                <w:szCs w:val="22"/>
                <w:lang w:eastAsia="en-US"/>
              </w:rPr>
            </w:pPr>
            <w:r w:rsidRPr="00661227">
              <w:rPr>
                <w:rFonts w:eastAsiaTheme="minorHAnsi" w:cstheme="minorBidi"/>
                <w:color w:val="000000"/>
                <w:spacing w:val="-6"/>
                <w:sz w:val="22"/>
                <w:szCs w:val="22"/>
                <w:lang w:eastAsia="en-US"/>
              </w:rPr>
              <w:t>Обеспечение текущего содержания объектов благоустройства территории города Когалыма, включая озеленение территории и содержание малых архитектурных форм, тыс. кв.м.</w:t>
            </w:r>
            <w:r w:rsidRPr="00661227">
              <w:rPr>
                <w:sz w:val="22"/>
                <w:szCs w:val="22"/>
              </w:rPr>
              <w:t xml:space="preserve"> &lt;</w:t>
            </w:r>
            <w:r w:rsidRPr="00661227">
              <w:rPr>
                <w:sz w:val="22"/>
                <w:szCs w:val="22"/>
                <w:lang w:val="en-US"/>
              </w:rPr>
              <w:t>I</w:t>
            </w:r>
            <w:r w:rsidRPr="00661227">
              <w:rPr>
                <w:sz w:val="22"/>
                <w:szCs w:val="22"/>
              </w:rPr>
              <w:t>&gt;</w:t>
            </w:r>
          </w:p>
        </w:tc>
        <w:tc>
          <w:tcPr>
            <w:tcW w:w="878" w:type="pct"/>
            <w:vAlign w:val="center"/>
          </w:tcPr>
          <w:p w:rsidR="00661227" w:rsidRPr="00661227" w:rsidRDefault="00661227" w:rsidP="00C52E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 xml:space="preserve">Постановление Администрации города Когалыма </w:t>
            </w:r>
            <w:r w:rsidR="00C52ECF" w:rsidRPr="00C52ECF">
              <w:rPr>
                <w:sz w:val="22"/>
                <w:szCs w:val="22"/>
              </w:rPr>
              <w:t xml:space="preserve">от 29.12.2023 №2681 </w:t>
            </w:r>
            <w:r w:rsidR="00C52ECF">
              <w:rPr>
                <w:sz w:val="22"/>
                <w:szCs w:val="22"/>
              </w:rPr>
              <w:t>«</w:t>
            </w:r>
            <w:r w:rsidR="00C52ECF" w:rsidRPr="00C52ECF">
              <w:rPr>
                <w:sz w:val="22"/>
                <w:szCs w:val="22"/>
              </w:rPr>
              <w:t xml:space="preserve">Об утверждении муниципального задания муниципальному бюджетному учреждению </w:t>
            </w:r>
            <w:r w:rsidR="00C52ECF">
              <w:rPr>
                <w:sz w:val="22"/>
                <w:szCs w:val="22"/>
              </w:rPr>
              <w:t>«</w:t>
            </w:r>
            <w:r w:rsidR="00C52ECF" w:rsidRPr="00C52ECF">
              <w:rPr>
                <w:sz w:val="22"/>
                <w:szCs w:val="22"/>
              </w:rPr>
              <w:t>Коммунспецавтотехника</w:t>
            </w:r>
            <w:r w:rsidR="00C52ECF">
              <w:rPr>
                <w:sz w:val="22"/>
                <w:szCs w:val="22"/>
              </w:rPr>
              <w:t>»</w:t>
            </w:r>
            <w:r w:rsidR="00C52ECF" w:rsidRPr="00C52ECF">
              <w:rPr>
                <w:sz w:val="22"/>
                <w:szCs w:val="22"/>
              </w:rPr>
              <w:t xml:space="preserve"> на выполнение работ на 2024 год и на плановый период 2025 и 2026 годов</w:t>
            </w:r>
            <w:r w:rsidR="00C52ECF">
              <w:rPr>
                <w:sz w:val="22"/>
                <w:szCs w:val="22"/>
              </w:rPr>
              <w:t>»</w:t>
            </w:r>
          </w:p>
        </w:tc>
        <w:tc>
          <w:tcPr>
            <w:tcW w:w="316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692,754</w:t>
            </w:r>
          </w:p>
        </w:tc>
        <w:tc>
          <w:tcPr>
            <w:tcW w:w="274" w:type="pct"/>
            <w:vAlign w:val="center"/>
          </w:tcPr>
          <w:p w:rsidR="00661227" w:rsidRPr="00AE1036" w:rsidRDefault="003010AF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1036">
              <w:rPr>
                <w:sz w:val="22"/>
                <w:szCs w:val="22"/>
              </w:rPr>
              <w:t>648,931</w:t>
            </w:r>
          </w:p>
        </w:tc>
        <w:tc>
          <w:tcPr>
            <w:tcW w:w="274" w:type="pct"/>
            <w:vAlign w:val="center"/>
          </w:tcPr>
          <w:p w:rsidR="00661227" w:rsidRPr="00AE1036" w:rsidRDefault="003010AF" w:rsidP="00661227">
            <w:pPr>
              <w:jc w:val="center"/>
            </w:pPr>
            <w:r w:rsidRPr="00AE1036">
              <w:rPr>
                <w:sz w:val="22"/>
                <w:szCs w:val="22"/>
              </w:rPr>
              <w:t>648,931</w:t>
            </w:r>
          </w:p>
        </w:tc>
        <w:tc>
          <w:tcPr>
            <w:tcW w:w="274" w:type="pct"/>
            <w:vAlign w:val="center"/>
          </w:tcPr>
          <w:p w:rsidR="00661227" w:rsidRPr="00AE1036" w:rsidRDefault="003010AF" w:rsidP="00661227">
            <w:pPr>
              <w:jc w:val="center"/>
            </w:pPr>
            <w:r w:rsidRPr="00AE1036">
              <w:rPr>
                <w:sz w:val="22"/>
                <w:szCs w:val="22"/>
              </w:rPr>
              <w:t>648,931</w:t>
            </w:r>
          </w:p>
        </w:tc>
        <w:tc>
          <w:tcPr>
            <w:tcW w:w="274" w:type="pct"/>
            <w:vAlign w:val="center"/>
          </w:tcPr>
          <w:p w:rsidR="00661227" w:rsidRPr="00AE1036" w:rsidRDefault="003010AF" w:rsidP="00661227">
            <w:pPr>
              <w:jc w:val="center"/>
            </w:pPr>
            <w:r w:rsidRPr="00AE1036">
              <w:rPr>
                <w:sz w:val="22"/>
                <w:szCs w:val="22"/>
              </w:rPr>
              <w:t>648,931</w:t>
            </w:r>
          </w:p>
        </w:tc>
        <w:tc>
          <w:tcPr>
            <w:tcW w:w="274" w:type="pct"/>
            <w:vAlign w:val="center"/>
          </w:tcPr>
          <w:p w:rsidR="00661227" w:rsidRPr="00AE1036" w:rsidRDefault="003010AF" w:rsidP="00661227">
            <w:pPr>
              <w:jc w:val="center"/>
            </w:pPr>
            <w:r w:rsidRPr="00AE1036">
              <w:rPr>
                <w:sz w:val="22"/>
                <w:szCs w:val="22"/>
              </w:rPr>
              <w:t>648,931</w:t>
            </w:r>
          </w:p>
        </w:tc>
        <w:tc>
          <w:tcPr>
            <w:tcW w:w="527" w:type="pct"/>
            <w:vAlign w:val="center"/>
          </w:tcPr>
          <w:p w:rsidR="00661227" w:rsidRPr="00AE1036" w:rsidRDefault="003010AF" w:rsidP="00661227">
            <w:pPr>
              <w:jc w:val="center"/>
            </w:pPr>
            <w:r w:rsidRPr="00AE1036">
              <w:rPr>
                <w:sz w:val="22"/>
                <w:szCs w:val="22"/>
              </w:rPr>
              <w:t>648,931</w:t>
            </w:r>
          </w:p>
        </w:tc>
        <w:tc>
          <w:tcPr>
            <w:tcW w:w="618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МБУ «КСАТ»</w:t>
            </w:r>
          </w:p>
        </w:tc>
      </w:tr>
      <w:tr w:rsidR="00661227" w:rsidRPr="00661227" w:rsidTr="00661227">
        <w:tc>
          <w:tcPr>
            <w:tcW w:w="616" w:type="pct"/>
            <w:vMerge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  <w:lang w:val="en-US"/>
              </w:rPr>
              <w:t>II</w:t>
            </w:r>
            <w:r w:rsidRPr="00661227">
              <w:rPr>
                <w:sz w:val="22"/>
                <w:szCs w:val="22"/>
              </w:rPr>
              <w:t>.</w:t>
            </w:r>
          </w:p>
        </w:tc>
        <w:tc>
          <w:tcPr>
            <w:tcW w:w="539" w:type="pct"/>
            <w:vAlign w:val="center"/>
          </w:tcPr>
          <w:p w:rsidR="00661227" w:rsidRPr="00661227" w:rsidRDefault="00661227" w:rsidP="00661227">
            <w:pPr>
              <w:jc w:val="both"/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</w:pPr>
            <w:r w:rsidRPr="00661227">
              <w:rPr>
                <w:rFonts w:eastAsiaTheme="minorHAnsi" w:cstheme="minorBidi"/>
                <w:color w:val="000000"/>
                <w:sz w:val="22"/>
                <w:szCs w:val="22"/>
                <w:lang w:eastAsia="en-US"/>
              </w:rPr>
              <w:t>Обеспечение текущего содержания территорий городского кладбища и мест захоронений, тыс.кв.м.</w:t>
            </w:r>
            <w:r w:rsidRPr="00661227">
              <w:rPr>
                <w:sz w:val="22"/>
                <w:szCs w:val="22"/>
              </w:rPr>
              <w:t>&lt;</w:t>
            </w:r>
            <w:r w:rsidRPr="00661227">
              <w:rPr>
                <w:sz w:val="22"/>
                <w:szCs w:val="22"/>
                <w:lang w:val="en-US"/>
              </w:rPr>
              <w:t>II</w:t>
            </w:r>
            <w:r w:rsidRPr="00661227">
              <w:rPr>
                <w:sz w:val="22"/>
                <w:szCs w:val="22"/>
              </w:rPr>
              <w:t xml:space="preserve"> &gt;</w:t>
            </w:r>
          </w:p>
        </w:tc>
        <w:tc>
          <w:tcPr>
            <w:tcW w:w="878" w:type="pct"/>
            <w:vAlign w:val="center"/>
          </w:tcPr>
          <w:p w:rsidR="00661227" w:rsidRPr="00661227" w:rsidRDefault="00661227" w:rsidP="00690EBD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661227">
              <w:rPr>
                <w:spacing w:val="-6"/>
                <w:sz w:val="22"/>
                <w:szCs w:val="22"/>
              </w:rPr>
              <w:t>Устав муниципального каз</w:t>
            </w:r>
            <w:r w:rsidR="00690EBD">
              <w:rPr>
                <w:spacing w:val="-6"/>
                <w:sz w:val="22"/>
                <w:szCs w:val="22"/>
              </w:rPr>
              <w:t>ё</w:t>
            </w:r>
            <w:r w:rsidRPr="00661227">
              <w:rPr>
                <w:spacing w:val="-6"/>
                <w:sz w:val="22"/>
                <w:szCs w:val="22"/>
              </w:rPr>
              <w:t xml:space="preserve">нного учреждения «Управление капитального строительства и жилищно-коммунального комплекса города Когалыма» </w:t>
            </w:r>
          </w:p>
        </w:tc>
        <w:tc>
          <w:tcPr>
            <w:tcW w:w="316" w:type="pct"/>
            <w:vAlign w:val="center"/>
          </w:tcPr>
          <w:p w:rsidR="00661227" w:rsidRPr="00BA7756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7756">
              <w:rPr>
                <w:sz w:val="22"/>
                <w:szCs w:val="22"/>
              </w:rPr>
              <w:t>95,189</w:t>
            </w:r>
          </w:p>
        </w:tc>
        <w:tc>
          <w:tcPr>
            <w:tcW w:w="274" w:type="pct"/>
            <w:vAlign w:val="center"/>
          </w:tcPr>
          <w:p w:rsidR="00661227" w:rsidRPr="00BA7756" w:rsidRDefault="00661227" w:rsidP="00661227">
            <w:pPr>
              <w:jc w:val="center"/>
              <w:rPr>
                <w:sz w:val="22"/>
                <w:szCs w:val="22"/>
              </w:rPr>
            </w:pPr>
            <w:r w:rsidRPr="00BA7756">
              <w:rPr>
                <w:sz w:val="22"/>
                <w:szCs w:val="22"/>
              </w:rPr>
              <w:t>95,189</w:t>
            </w:r>
          </w:p>
        </w:tc>
        <w:tc>
          <w:tcPr>
            <w:tcW w:w="274" w:type="pct"/>
            <w:vAlign w:val="center"/>
          </w:tcPr>
          <w:p w:rsidR="00661227" w:rsidRPr="00BA7756" w:rsidRDefault="00661227" w:rsidP="00661227">
            <w:pPr>
              <w:jc w:val="center"/>
              <w:rPr>
                <w:sz w:val="22"/>
                <w:szCs w:val="22"/>
              </w:rPr>
            </w:pPr>
            <w:r w:rsidRPr="00BA7756">
              <w:rPr>
                <w:sz w:val="22"/>
                <w:szCs w:val="22"/>
              </w:rPr>
              <w:t>95,189</w:t>
            </w:r>
          </w:p>
        </w:tc>
        <w:tc>
          <w:tcPr>
            <w:tcW w:w="274" w:type="pct"/>
            <w:vAlign w:val="center"/>
          </w:tcPr>
          <w:p w:rsidR="00661227" w:rsidRPr="00BA7756" w:rsidRDefault="00661227" w:rsidP="00661227">
            <w:pPr>
              <w:jc w:val="center"/>
              <w:rPr>
                <w:sz w:val="22"/>
                <w:szCs w:val="22"/>
              </w:rPr>
            </w:pPr>
            <w:r w:rsidRPr="00BA7756">
              <w:rPr>
                <w:sz w:val="22"/>
                <w:szCs w:val="22"/>
              </w:rPr>
              <w:t>95,189</w:t>
            </w:r>
          </w:p>
        </w:tc>
        <w:tc>
          <w:tcPr>
            <w:tcW w:w="274" w:type="pct"/>
            <w:vAlign w:val="center"/>
          </w:tcPr>
          <w:p w:rsidR="00661227" w:rsidRPr="00BA7756" w:rsidRDefault="00661227" w:rsidP="00661227">
            <w:pPr>
              <w:jc w:val="center"/>
              <w:rPr>
                <w:sz w:val="22"/>
                <w:szCs w:val="22"/>
              </w:rPr>
            </w:pPr>
            <w:r w:rsidRPr="00BA7756">
              <w:rPr>
                <w:sz w:val="22"/>
                <w:szCs w:val="22"/>
              </w:rPr>
              <w:t>95,189</w:t>
            </w:r>
          </w:p>
        </w:tc>
        <w:tc>
          <w:tcPr>
            <w:tcW w:w="274" w:type="pct"/>
            <w:vAlign w:val="center"/>
          </w:tcPr>
          <w:p w:rsidR="00661227" w:rsidRPr="00BA7756" w:rsidRDefault="00661227" w:rsidP="00661227">
            <w:pPr>
              <w:jc w:val="center"/>
              <w:rPr>
                <w:sz w:val="22"/>
                <w:szCs w:val="22"/>
              </w:rPr>
            </w:pPr>
            <w:r w:rsidRPr="00BA7756">
              <w:rPr>
                <w:sz w:val="22"/>
                <w:szCs w:val="22"/>
              </w:rPr>
              <w:t>95,189</w:t>
            </w:r>
          </w:p>
        </w:tc>
        <w:tc>
          <w:tcPr>
            <w:tcW w:w="527" w:type="pct"/>
            <w:vAlign w:val="center"/>
          </w:tcPr>
          <w:p w:rsidR="00661227" w:rsidRPr="00BA7756" w:rsidRDefault="00661227" w:rsidP="00661227">
            <w:pPr>
              <w:jc w:val="center"/>
              <w:rPr>
                <w:sz w:val="22"/>
                <w:szCs w:val="22"/>
              </w:rPr>
            </w:pPr>
            <w:r w:rsidRPr="00BA7756">
              <w:rPr>
                <w:sz w:val="22"/>
                <w:szCs w:val="22"/>
              </w:rPr>
              <w:t>95,189</w:t>
            </w:r>
          </w:p>
        </w:tc>
        <w:tc>
          <w:tcPr>
            <w:tcW w:w="618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МКУ «УКС и ЖКК г.Когалыма»</w:t>
            </w:r>
          </w:p>
        </w:tc>
      </w:tr>
    </w:tbl>
    <w:p w:rsidR="00661227" w:rsidRPr="00661227" w:rsidRDefault="00661227" w:rsidP="00661227">
      <w:pPr>
        <w:autoSpaceDE w:val="0"/>
        <w:autoSpaceDN w:val="0"/>
        <w:adjustRightInd w:val="0"/>
        <w:jc w:val="center"/>
        <w:rPr>
          <w:sz w:val="22"/>
          <w:szCs w:val="22"/>
        </w:rPr>
        <w:sectPr w:rsidR="00661227" w:rsidRPr="00661227" w:rsidSect="00661227">
          <w:pgSz w:w="16838" w:h="11906" w:orient="landscape" w:code="9"/>
          <w:pgMar w:top="567" w:right="567" w:bottom="1985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51"/>
        <w:gridCol w:w="3180"/>
        <w:gridCol w:w="1362"/>
        <w:gridCol w:w="1362"/>
        <w:gridCol w:w="1362"/>
        <w:gridCol w:w="1513"/>
        <w:gridCol w:w="1271"/>
        <w:gridCol w:w="1193"/>
      </w:tblGrid>
      <w:tr w:rsidR="00661227" w:rsidRPr="00661227" w:rsidTr="00661227">
        <w:tc>
          <w:tcPr>
            <w:tcW w:w="1418" w:type="pct"/>
            <w:vMerge w:val="restar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1013" w:type="pct"/>
            <w:vMerge w:val="restar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569" w:type="pct"/>
            <w:gridSpan w:val="6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661227" w:rsidRPr="00661227" w:rsidTr="00661227">
        <w:tc>
          <w:tcPr>
            <w:tcW w:w="1418" w:type="pct"/>
            <w:vMerge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pct"/>
            <w:vMerge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Всего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2024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2025</w:t>
            </w:r>
          </w:p>
        </w:tc>
        <w:tc>
          <w:tcPr>
            <w:tcW w:w="482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2026</w:t>
            </w:r>
          </w:p>
        </w:tc>
        <w:tc>
          <w:tcPr>
            <w:tcW w:w="405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2027</w:t>
            </w:r>
          </w:p>
        </w:tc>
        <w:tc>
          <w:tcPr>
            <w:tcW w:w="380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ind w:right="-62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2028</w:t>
            </w:r>
          </w:p>
        </w:tc>
      </w:tr>
      <w:tr w:rsidR="007A44F7" w:rsidRPr="00661227" w:rsidTr="007A44F7">
        <w:tc>
          <w:tcPr>
            <w:tcW w:w="1418" w:type="pct"/>
            <w:vMerge/>
          </w:tcPr>
          <w:p w:rsidR="007A44F7" w:rsidRPr="00661227" w:rsidRDefault="007A44F7" w:rsidP="007A4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pct"/>
          </w:tcPr>
          <w:p w:rsidR="007A44F7" w:rsidRPr="007412ED" w:rsidRDefault="007A44F7" w:rsidP="007A44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12ED">
              <w:rPr>
                <w:sz w:val="22"/>
                <w:szCs w:val="22"/>
              </w:rPr>
              <w:t>всего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1 018 569,0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266 100,8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207 131,8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186 449,8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179 443,4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179 443,4</w:t>
            </w:r>
          </w:p>
        </w:tc>
      </w:tr>
      <w:tr w:rsidR="007A44F7" w:rsidRPr="00661227" w:rsidTr="007A44F7">
        <w:tc>
          <w:tcPr>
            <w:tcW w:w="1418" w:type="pct"/>
            <w:vMerge/>
          </w:tcPr>
          <w:p w:rsidR="007A44F7" w:rsidRPr="00661227" w:rsidRDefault="007A44F7" w:rsidP="007A4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pct"/>
          </w:tcPr>
          <w:p w:rsidR="007A44F7" w:rsidRPr="007412ED" w:rsidRDefault="007A44F7" w:rsidP="007A44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12E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0,00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0,00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0,00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0,00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0,00</w:t>
            </w:r>
          </w:p>
        </w:tc>
      </w:tr>
      <w:tr w:rsidR="007A44F7" w:rsidRPr="00661227" w:rsidTr="007A44F7">
        <w:tc>
          <w:tcPr>
            <w:tcW w:w="1418" w:type="pct"/>
            <w:vMerge/>
          </w:tcPr>
          <w:p w:rsidR="007A44F7" w:rsidRPr="00661227" w:rsidRDefault="007A44F7" w:rsidP="007A4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pct"/>
          </w:tcPr>
          <w:p w:rsidR="007A44F7" w:rsidRPr="007412ED" w:rsidRDefault="007A44F7" w:rsidP="007A44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12ED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7 074,2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1 587,5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1 425,0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1 353,9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1 353,9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1 353,9</w:t>
            </w:r>
          </w:p>
        </w:tc>
      </w:tr>
      <w:tr w:rsidR="007A44F7" w:rsidRPr="00661227" w:rsidTr="007A44F7">
        <w:tc>
          <w:tcPr>
            <w:tcW w:w="1418" w:type="pct"/>
            <w:vMerge/>
          </w:tcPr>
          <w:p w:rsidR="007A44F7" w:rsidRPr="00661227" w:rsidRDefault="007A44F7" w:rsidP="007A4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pct"/>
          </w:tcPr>
          <w:p w:rsidR="007A44F7" w:rsidRPr="007412ED" w:rsidRDefault="007A44F7" w:rsidP="007A44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12ED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1 011 494,8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264 513,3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205 706,8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185 095,9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178 089,5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178 089,5</w:t>
            </w:r>
          </w:p>
        </w:tc>
      </w:tr>
      <w:tr w:rsidR="007A44F7" w:rsidRPr="00661227" w:rsidTr="007A44F7">
        <w:tc>
          <w:tcPr>
            <w:tcW w:w="1418" w:type="pct"/>
            <w:vMerge/>
          </w:tcPr>
          <w:p w:rsidR="007A44F7" w:rsidRPr="00661227" w:rsidRDefault="007A44F7" w:rsidP="007A4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pct"/>
          </w:tcPr>
          <w:p w:rsidR="007A44F7" w:rsidRPr="007412ED" w:rsidRDefault="007A44F7" w:rsidP="007A44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412ED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0,00</w:t>
            </w:r>
          </w:p>
        </w:tc>
        <w:tc>
          <w:tcPr>
            <w:tcW w:w="43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0,00</w:t>
            </w:r>
          </w:p>
        </w:tc>
        <w:tc>
          <w:tcPr>
            <w:tcW w:w="43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0,00</w:t>
            </w:r>
          </w:p>
        </w:tc>
        <w:tc>
          <w:tcPr>
            <w:tcW w:w="48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0,00</w:t>
            </w:r>
          </w:p>
        </w:tc>
        <w:tc>
          <w:tcPr>
            <w:tcW w:w="38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A44F7" w:rsidRPr="00440230" w:rsidRDefault="007A44F7" w:rsidP="007A44F7">
            <w:pPr>
              <w:jc w:val="center"/>
            </w:pPr>
            <w:r w:rsidRPr="00440230">
              <w:t>0,00</w:t>
            </w:r>
          </w:p>
        </w:tc>
      </w:tr>
      <w:tr w:rsidR="00661227" w:rsidRPr="00661227" w:rsidTr="00661227">
        <w:tc>
          <w:tcPr>
            <w:tcW w:w="1418" w:type="pct"/>
            <w:vMerge w:val="restar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 xml:space="preserve">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 участие, в котором принимает город Когалым </w:t>
            </w:r>
          </w:p>
          <w:p w:rsidR="00661227" w:rsidRPr="00661227" w:rsidRDefault="00661227" w:rsidP="006612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13" w:type="pct"/>
            <w:vMerge w:val="restar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569" w:type="pct"/>
            <w:gridSpan w:val="6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661227" w:rsidRPr="00661227" w:rsidTr="00661227">
        <w:tc>
          <w:tcPr>
            <w:tcW w:w="1418" w:type="pct"/>
            <w:vMerge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pct"/>
            <w:vMerge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Всего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2024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2025</w:t>
            </w:r>
          </w:p>
        </w:tc>
        <w:tc>
          <w:tcPr>
            <w:tcW w:w="482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2026</w:t>
            </w:r>
          </w:p>
        </w:tc>
        <w:tc>
          <w:tcPr>
            <w:tcW w:w="405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2027</w:t>
            </w:r>
          </w:p>
        </w:tc>
        <w:tc>
          <w:tcPr>
            <w:tcW w:w="380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ind w:right="-62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2028</w:t>
            </w:r>
          </w:p>
        </w:tc>
      </w:tr>
      <w:tr w:rsidR="00661227" w:rsidRPr="00661227" w:rsidTr="00661227">
        <w:tc>
          <w:tcPr>
            <w:tcW w:w="1418" w:type="pct"/>
            <w:vMerge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pc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всего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</w:tr>
      <w:tr w:rsidR="00661227" w:rsidRPr="00661227" w:rsidTr="00661227">
        <w:tc>
          <w:tcPr>
            <w:tcW w:w="1418" w:type="pct"/>
            <w:vMerge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pc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</w:tr>
      <w:tr w:rsidR="00661227" w:rsidRPr="00661227" w:rsidTr="00661227">
        <w:tc>
          <w:tcPr>
            <w:tcW w:w="1418" w:type="pct"/>
            <w:vMerge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pc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</w:tr>
      <w:tr w:rsidR="00661227" w:rsidRPr="00661227" w:rsidTr="00661227">
        <w:tc>
          <w:tcPr>
            <w:tcW w:w="1418" w:type="pct"/>
            <w:vMerge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pc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</w:tr>
      <w:tr w:rsidR="00661227" w:rsidRPr="00661227" w:rsidTr="00661227">
        <w:tc>
          <w:tcPr>
            <w:tcW w:w="1418" w:type="pct"/>
            <w:vMerge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pc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405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  <w:tc>
          <w:tcPr>
            <w:tcW w:w="380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0,0</w:t>
            </w:r>
          </w:p>
        </w:tc>
      </w:tr>
      <w:tr w:rsidR="00661227" w:rsidRPr="00661227" w:rsidTr="00661227">
        <w:tc>
          <w:tcPr>
            <w:tcW w:w="1418" w:type="pct"/>
            <w:vMerge w:val="restar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Объем налоговых расходов города Когалыма</w:t>
            </w:r>
          </w:p>
        </w:tc>
        <w:tc>
          <w:tcPr>
            <w:tcW w:w="1013" w:type="pct"/>
            <w:vMerge w:val="restar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69" w:type="pct"/>
            <w:gridSpan w:val="6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661227" w:rsidRPr="00661227" w:rsidTr="00661227">
        <w:tc>
          <w:tcPr>
            <w:tcW w:w="1418" w:type="pct"/>
            <w:vMerge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3" w:type="pct"/>
            <w:vMerge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Всего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2024</w:t>
            </w:r>
          </w:p>
        </w:tc>
        <w:tc>
          <w:tcPr>
            <w:tcW w:w="434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2025</w:t>
            </w:r>
          </w:p>
        </w:tc>
        <w:tc>
          <w:tcPr>
            <w:tcW w:w="482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2026</w:t>
            </w:r>
          </w:p>
        </w:tc>
        <w:tc>
          <w:tcPr>
            <w:tcW w:w="405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2027</w:t>
            </w:r>
          </w:p>
        </w:tc>
        <w:tc>
          <w:tcPr>
            <w:tcW w:w="380" w:type="pct"/>
            <w:vAlign w:val="center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ind w:right="-62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2028</w:t>
            </w:r>
          </w:p>
        </w:tc>
      </w:tr>
      <w:tr w:rsidR="00661227" w:rsidRPr="00661227" w:rsidTr="00661227">
        <w:tc>
          <w:tcPr>
            <w:tcW w:w="1418" w:type="pct"/>
            <w:vMerge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3" w:type="pct"/>
            <w:vMerge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-</w:t>
            </w:r>
          </w:p>
        </w:tc>
        <w:tc>
          <w:tcPr>
            <w:tcW w:w="434" w:type="pc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-</w:t>
            </w:r>
          </w:p>
        </w:tc>
        <w:tc>
          <w:tcPr>
            <w:tcW w:w="434" w:type="pc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-</w:t>
            </w:r>
          </w:p>
        </w:tc>
        <w:tc>
          <w:tcPr>
            <w:tcW w:w="482" w:type="pc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1227">
              <w:rPr>
                <w:sz w:val="22"/>
                <w:szCs w:val="22"/>
              </w:rPr>
              <w:t>-</w:t>
            </w:r>
          </w:p>
        </w:tc>
        <w:tc>
          <w:tcPr>
            <w:tcW w:w="380" w:type="pct"/>
          </w:tcPr>
          <w:p w:rsidR="00661227" w:rsidRPr="00661227" w:rsidRDefault="00661227" w:rsidP="006612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61227" w:rsidRPr="00661227" w:rsidRDefault="00661227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661227" w:rsidRPr="00661227" w:rsidRDefault="00661227" w:rsidP="00661227">
      <w:pPr>
        <w:shd w:val="clear" w:color="auto" w:fill="FFFFFF"/>
        <w:outlineLvl w:val="2"/>
        <w:rPr>
          <w:rFonts w:eastAsia="Calibri"/>
          <w:sz w:val="26"/>
          <w:szCs w:val="26"/>
        </w:rPr>
      </w:pPr>
      <w:r w:rsidRPr="00661227">
        <w:rPr>
          <w:sz w:val="26"/>
          <w:szCs w:val="26"/>
        </w:rPr>
        <w:t>&lt;</w:t>
      </w:r>
      <w:r w:rsidRPr="00661227">
        <w:rPr>
          <w:sz w:val="26"/>
          <w:szCs w:val="26"/>
          <w:lang w:val="en-US"/>
        </w:rPr>
        <w:t>I</w:t>
      </w:r>
      <w:r w:rsidRPr="00661227">
        <w:rPr>
          <w:sz w:val="26"/>
          <w:szCs w:val="26"/>
        </w:rPr>
        <w:t>&gt;</w:t>
      </w:r>
      <w:r w:rsidRPr="00661227">
        <w:rPr>
          <w:rFonts w:eastAsia="Calibri"/>
          <w:sz w:val="26"/>
          <w:szCs w:val="26"/>
        </w:rPr>
        <w:t xml:space="preserve"> - Постановление Администрации города Когалыма </w:t>
      </w:r>
      <w:r w:rsidR="00690EBD" w:rsidRPr="00690EBD">
        <w:rPr>
          <w:rFonts w:eastAsia="Calibri"/>
          <w:sz w:val="26"/>
          <w:szCs w:val="26"/>
        </w:rPr>
        <w:t xml:space="preserve">от 29.12.2023 №2681 </w:t>
      </w:r>
      <w:r w:rsidRPr="00661227">
        <w:rPr>
          <w:rFonts w:eastAsia="Calibri"/>
          <w:sz w:val="26"/>
          <w:szCs w:val="26"/>
        </w:rPr>
        <w:t>«Об утверждении муниципального задания муниципальному бюджетному учреждению «Коммунспецавтотехника» на выполнение работ на 2024 год и на плановый период 2025 и 2026 годов»;</w:t>
      </w:r>
    </w:p>
    <w:p w:rsidR="00661227" w:rsidRPr="00661227" w:rsidRDefault="00661227" w:rsidP="00661227">
      <w:pPr>
        <w:shd w:val="clear" w:color="auto" w:fill="FFFFFF"/>
        <w:outlineLvl w:val="2"/>
        <w:rPr>
          <w:rFonts w:eastAsia="Calibri"/>
          <w:sz w:val="26"/>
          <w:szCs w:val="26"/>
        </w:rPr>
      </w:pPr>
      <w:r w:rsidRPr="00661227">
        <w:rPr>
          <w:sz w:val="26"/>
          <w:szCs w:val="26"/>
        </w:rPr>
        <w:t>&lt;</w:t>
      </w:r>
      <w:r w:rsidRPr="00661227">
        <w:rPr>
          <w:sz w:val="26"/>
          <w:szCs w:val="26"/>
          <w:lang w:val="en-US"/>
        </w:rPr>
        <w:t>II</w:t>
      </w:r>
      <w:r w:rsidRPr="00661227">
        <w:rPr>
          <w:sz w:val="26"/>
          <w:szCs w:val="26"/>
        </w:rPr>
        <w:t>&gt;</w:t>
      </w:r>
      <w:r w:rsidRPr="00661227">
        <w:rPr>
          <w:rFonts w:eastAsia="Calibri"/>
          <w:sz w:val="26"/>
          <w:szCs w:val="26"/>
        </w:rPr>
        <w:t xml:space="preserve"> - </w:t>
      </w:r>
      <w:r w:rsidRPr="00661227">
        <w:rPr>
          <w:rFonts w:eastAsia="Calibri"/>
          <w:sz w:val="26"/>
          <w:szCs w:val="26"/>
          <w:vertAlign w:val="superscript"/>
        </w:rPr>
        <w:t xml:space="preserve"> </w:t>
      </w:r>
      <w:r w:rsidRPr="00661227">
        <w:rPr>
          <w:rFonts w:eastAsia="Calibri"/>
          <w:sz w:val="26"/>
          <w:szCs w:val="26"/>
        </w:rPr>
        <w:t>Приказ комитета по управлению муниципальным имуществом Администрации города Когалыма от 27.04.2023 №174-И.</w:t>
      </w:r>
    </w:p>
    <w:p w:rsidR="00661227" w:rsidRPr="00661227" w:rsidRDefault="00661227" w:rsidP="00661227">
      <w:pPr>
        <w:shd w:val="clear" w:color="auto" w:fill="FFFFFF"/>
        <w:jc w:val="right"/>
        <w:outlineLvl w:val="2"/>
        <w:rPr>
          <w:rFonts w:eastAsia="Calibri"/>
          <w:color w:val="FF0000"/>
          <w:sz w:val="26"/>
          <w:szCs w:val="26"/>
        </w:rPr>
      </w:pPr>
    </w:p>
    <w:p w:rsidR="00661227" w:rsidRPr="00661227" w:rsidRDefault="00661227" w:rsidP="00661227">
      <w:pPr>
        <w:shd w:val="clear" w:color="auto" w:fill="FFFFFF"/>
        <w:jc w:val="right"/>
        <w:outlineLvl w:val="2"/>
        <w:rPr>
          <w:rFonts w:eastAsia="Calibri"/>
          <w:color w:val="FF0000"/>
          <w:sz w:val="26"/>
          <w:szCs w:val="26"/>
        </w:rPr>
        <w:sectPr w:rsidR="00661227" w:rsidRPr="00661227" w:rsidSect="00661227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p w:rsidR="00661227" w:rsidRDefault="00661227" w:rsidP="00661227">
      <w:pPr>
        <w:jc w:val="right"/>
        <w:rPr>
          <w:sz w:val="26"/>
          <w:szCs w:val="26"/>
        </w:rPr>
      </w:pPr>
      <w:r w:rsidRPr="00661227">
        <w:rPr>
          <w:sz w:val="26"/>
          <w:szCs w:val="26"/>
        </w:rPr>
        <w:lastRenderedPageBreak/>
        <w:t>Таблица 1</w:t>
      </w:r>
    </w:p>
    <w:p w:rsidR="005278F2" w:rsidRDefault="005278F2" w:rsidP="00661227">
      <w:pPr>
        <w:jc w:val="right"/>
        <w:rPr>
          <w:sz w:val="26"/>
          <w:szCs w:val="26"/>
        </w:rPr>
      </w:pPr>
    </w:p>
    <w:p w:rsidR="00CF32C2" w:rsidRPr="005273BE" w:rsidRDefault="00CF32C2" w:rsidP="00CF32C2">
      <w:pPr>
        <w:jc w:val="center"/>
        <w:rPr>
          <w:sz w:val="26"/>
          <w:szCs w:val="26"/>
        </w:rPr>
      </w:pPr>
      <w:r w:rsidRPr="005273BE"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CF32C2" w:rsidRDefault="00CF32C2" w:rsidP="00CF32C2">
      <w:pPr>
        <w:tabs>
          <w:tab w:val="left" w:pos="7380"/>
        </w:tabs>
        <w:ind w:left="8505" w:firstLine="2977"/>
        <w:rPr>
          <w:sz w:val="26"/>
          <w:szCs w:val="26"/>
        </w:rPr>
      </w:pPr>
    </w:p>
    <w:tbl>
      <w:tblPr>
        <w:tblW w:w="15873" w:type="dxa"/>
        <w:tblLook w:val="04A0" w:firstRow="1" w:lastRow="0" w:firstColumn="1" w:lastColumn="0" w:noHBand="0" w:noVBand="1"/>
      </w:tblPr>
      <w:tblGrid>
        <w:gridCol w:w="1391"/>
        <w:gridCol w:w="2667"/>
        <w:gridCol w:w="2683"/>
        <w:gridCol w:w="1999"/>
        <w:gridCol w:w="1320"/>
        <w:gridCol w:w="1158"/>
        <w:gridCol w:w="1132"/>
        <w:gridCol w:w="1139"/>
        <w:gridCol w:w="1120"/>
        <w:gridCol w:w="1250"/>
        <w:gridCol w:w="14"/>
      </w:tblGrid>
      <w:tr w:rsidR="00CF32C2" w:rsidRPr="00675D22" w:rsidTr="00915F19">
        <w:trPr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Номер структурного элемента (основного мероприятия)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Структурный элемент (основное мероприятие) муниципальной программы)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Ответственный исполнитель/соисполнитель, учреждение, организация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Источники финансирования</w:t>
            </w:r>
          </w:p>
        </w:tc>
        <w:tc>
          <w:tcPr>
            <w:tcW w:w="71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Финансовые затраты на реализацию, тыс. рублей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всего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в том числе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 xml:space="preserve"> 2024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 xml:space="preserve"> 2025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 xml:space="preserve"> 2026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 xml:space="preserve"> 2027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 xml:space="preserve"> 2028 год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10</w:t>
            </w:r>
          </w:p>
        </w:tc>
      </w:tr>
      <w:tr w:rsidR="00CF32C2" w:rsidRPr="00675D22" w:rsidTr="00915F19">
        <w:trPr>
          <w:trHeight w:val="20"/>
        </w:trPr>
        <w:tc>
          <w:tcPr>
            <w:tcW w:w="15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Цель - Комплексное решение проблем благоустройства и санитарного содержания территории города Когалыма, повышение уровня внешнего благоустройства, создание условий для решения вопросов местного значения, обеспечение благополучной эпизоотической обстановки в городе Когалыме.</w:t>
            </w:r>
          </w:p>
        </w:tc>
      </w:tr>
      <w:tr w:rsidR="00CF32C2" w:rsidRPr="00675D22" w:rsidTr="00915F19">
        <w:trPr>
          <w:trHeight w:val="20"/>
        </w:trPr>
        <w:tc>
          <w:tcPr>
            <w:tcW w:w="15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 xml:space="preserve">Задача №1. Организация благоустройства территории города Когалыма, включая озеленение территории, создание и содержание объектов городского хозяйства города Когалыма. </w:t>
            </w:r>
            <w:r w:rsidRPr="00675D22">
              <w:br/>
              <w:t>Задача №2. Обеспечение деятельности муниципальных учреждений для решения вопросов местного значения.</w:t>
            </w:r>
            <w:r w:rsidRPr="00675D22">
              <w:br/>
              <w:t xml:space="preserve">Задача №3.Обеспечение стабильной благополучной эпизоотической обстановки в городе Когалыме, включая защиту населения от болезней, общих для человека и животных.   </w:t>
            </w:r>
          </w:p>
        </w:tc>
      </w:tr>
      <w:tr w:rsidR="00CF32C2" w:rsidRPr="00675D22" w:rsidTr="00915F19">
        <w:trPr>
          <w:trHeight w:val="20"/>
        </w:trPr>
        <w:tc>
          <w:tcPr>
            <w:tcW w:w="15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Процессная часть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1.1.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Основное мероприятие «Создание, содержание, ремонт, в том числе капитальный объектов городского хозяйства города Когалыма» (I,4,6,8,12)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МКУ «УКС и ЖКК г.Когалыма»/МБУ «КСАТ»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668 030,34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184 597,09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130 902,17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117 510,36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117 510,36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117 510,36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668 030,34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184 597,09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130 902,17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117 510,36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117 510,36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117 510,36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1.1.1.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Выполнение муниципальной работы «Уборка территории и аналогичная деятельность»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МБУ «КСАТ»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358 313,40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70 373,75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71 522,47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72 139,06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72 139,06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72 139,06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358 313,40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70 373,75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71 522,47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72 139,06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72 139,06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72 139,06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1.1.2.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Обеспечение очистки и вывоза снега с территории города, в том числе аренда транспортных средств, в целях вывоза снега с территории города Когалыма сверх муниципального задания, ввиду отсутствия технических возможностей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МКУ «УКС и ЖКК г.Когалыма»//МБУ «КСАТ»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206 536,43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47 214,93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48 363,20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36 986,10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36 986,10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36 986,10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206 536,43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47 214,93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48 363,20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36 986,10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36 986,10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36 986,10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МБУ «КСАТ»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16 578,73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5 068,63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6 216,90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1 764,40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1 764,40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1 764,40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16 578,73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5 068,63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6 216,90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1 764,40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1 764,40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1 764,40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189 957,70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42 146,30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42 146,30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35 221,70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35 221,70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35 221,70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189 957,70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42 146,30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42 146,30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35 221,70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35 221,70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35 221,70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1.1.3.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Обустройство и текущее содержание объектов городского хозяйства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МКУ «УКС и ЖКК г.Когалыма»/ОАиГ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91 195,00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55 022,90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11 016,50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8 385,20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8 385,20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8 385,20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91 195,00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55 022,90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11 016,50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8 385,20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8 385,20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8 385,20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90 856,00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54 683,90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11 016,50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8 385,20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8 385,20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8 385,20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90 856,00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54 683,90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11 016,50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8 385,20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8 385,20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8 385,20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ОАиГ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339,00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339,00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339,00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339,00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1.1.4.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Ремонт  пешеходного моста через реку Ингу-Ягун (Циркуль)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11 985,51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11 985,51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11 985,51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11 985,51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1.2.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Организация освещения территорий города Когалыма (1)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258 484,61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55 032,31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59 164,40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52 766,90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45 760,50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45 760,50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258 484,61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55 032,31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59 164,40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52 766,90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45 760,50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45 760,50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1.2.1.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Исполнение обязательств по энергосервисным контрактам по энергосбережению и повышению энергетической эффективности объектов наружного (уличного) освещения города Когалыма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24 177,31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8 644,31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8 526,60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7 006,40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24 177,31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8 644,31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8 526,60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7 006,40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1.2.2.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Обеспечение наружного освещения территории города Когалыма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234 307,30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46 388,00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50 637,80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45 760,50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45 760,50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45 760,50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234 307,30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46 388,00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50 637,80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45 760,50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45 760,50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45 760,50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1.3.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Организация ритуальных услуг и содержание мест захоронения (II, 2, 3)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30 268,80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6 801,70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6 536,30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5 643,60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5 643,60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5 643,60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30 268,80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6 801,70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6 536,30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5 643,60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5 643,60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5 643,60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1.4.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Реализация полномочий переданных Администрации города Когалыма в сферах жилищно-коммунального комплекса и городского хозяйства, в рамках осуществления учреждением функций заказчика (5)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4 961,00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992,20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992,20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992,20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992,20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992,20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4 961,00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992,20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992,20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992,20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992,20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992,20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1.5.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Организация мероприятий при осуществлении деятельности по обращению с животными без владельцев (7,10)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47 999,40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9 852,60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9 536,70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9 536,70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9 536,70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9 536,70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2 113,20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595,30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432,80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361,70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361,70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361,70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45 886,20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9 257,30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9 103,90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9 175,00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9 175,00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9 175,00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1.6.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Создание приюта для животных на территории города Когалыма (7)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4 994,47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4 994,47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4 994,47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4 994,47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1.7.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Архитектурная подсветка улиц, зданий, сооружений и жилых домов, расположенных на территории города Когалыма (9)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3 160,40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3 160,40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3 160,40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3 160,40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1.8.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Обследование и снос зданий, сооружений, расположенных на территории города Когалыма (11)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670,00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670,00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670,00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670,00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2C2" w:rsidRPr="00675D22" w:rsidRDefault="00CF32C2" w:rsidP="00915F19">
            <w:r w:rsidRPr="00675D22">
              <w:t xml:space="preserve"> Всего по муниципальной программе: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1 018 569,02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266 100,77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207 131,77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186 449,76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179 443,36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179 443,36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7 074,20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1 587,50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1 425,00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1 353,90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1 353,90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1 353,90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1 011 494,82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264 513,27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205 706,77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185 095,86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178 089,46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178 089,46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trHeight w:val="20"/>
        </w:trPr>
        <w:tc>
          <w:tcPr>
            <w:tcW w:w="15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2C2" w:rsidRPr="00675D22" w:rsidRDefault="00CF32C2" w:rsidP="00915F19">
            <w:r w:rsidRPr="00675D22">
              <w:t>в том числе: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Инвестиции в объекты муниципальной собственности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1 548,22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1 548,22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1 548,22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1 548,22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Прочие расходы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1 017 020,80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264 552,55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207 131,77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186 449,76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179 443,36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179 443,36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7 074,20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1 587,50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1 425,00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1 353,90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1 353,90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1 353,90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1 009 946,60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262 965,05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205 706,77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185 095,86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178 089,46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178 089,46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trHeight w:val="20"/>
        </w:trPr>
        <w:tc>
          <w:tcPr>
            <w:tcW w:w="15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 том числе: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Ответственный исполнитель</w:t>
            </w:r>
            <w:r w:rsidRPr="00675D22">
              <w:br/>
              <w:t>(МКУ «УКС и ЖКК г.Когалыма»)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643 337,89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190 319,39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129 392,40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112 546,30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105 539,90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105 539,90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7 074,20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1 587,50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1 425,00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1 353,90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1 353,90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1 353,90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636 263,69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188 731,89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127 967,40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111 192,40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104 186,00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104 186,00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соисполнитель 1</w:t>
            </w:r>
            <w:r w:rsidRPr="00675D22">
              <w:br/>
              <w:t>(МБУ «КСАТ»)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374 892,13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75 442,38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77 739,37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73 903,46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73 903,46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73 903,46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374 892,13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75 442,38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77 739,37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73 903,46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73 903,46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73 903,46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соисполнитель 2</w:t>
            </w:r>
            <w:r w:rsidRPr="00675D22">
              <w:br/>
              <w:t>(ОАиГ)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339,00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339,00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339,00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339,00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  <w:tr w:rsidR="00CF32C2" w:rsidRPr="00675D22" w:rsidTr="00915F19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2C2" w:rsidRPr="00675D22" w:rsidRDefault="00CF32C2" w:rsidP="00915F19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C2" w:rsidRPr="00675D22" w:rsidRDefault="00CF32C2" w:rsidP="00915F19">
            <w:pPr>
              <w:jc w:val="center"/>
            </w:pPr>
            <w:r w:rsidRPr="00675D22">
              <w:t>0,00</w:t>
            </w:r>
          </w:p>
        </w:tc>
      </w:tr>
    </w:tbl>
    <w:p w:rsidR="005278F2" w:rsidRDefault="005278F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  <w:bookmarkStart w:id="0" w:name="_GoBack"/>
      <w:bookmarkEnd w:id="0"/>
    </w:p>
    <w:p w:rsidR="00CF32C2" w:rsidRDefault="00CF32C2" w:rsidP="00661227">
      <w:pPr>
        <w:jc w:val="right"/>
        <w:rPr>
          <w:sz w:val="26"/>
          <w:szCs w:val="26"/>
        </w:rPr>
      </w:pPr>
    </w:p>
    <w:p w:rsidR="00CF32C2" w:rsidRDefault="00CF32C2" w:rsidP="00661227">
      <w:pPr>
        <w:jc w:val="right"/>
        <w:rPr>
          <w:sz w:val="26"/>
          <w:szCs w:val="26"/>
        </w:rPr>
      </w:pPr>
    </w:p>
    <w:p w:rsidR="00BA0EC8" w:rsidRPr="001A3AE2" w:rsidRDefault="00BA0EC8" w:rsidP="00BA0EC8">
      <w:pPr>
        <w:jc w:val="right"/>
        <w:rPr>
          <w:sz w:val="26"/>
          <w:szCs w:val="26"/>
        </w:rPr>
      </w:pPr>
      <w:r w:rsidRPr="001A3AE2">
        <w:rPr>
          <w:sz w:val="26"/>
          <w:szCs w:val="26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2165"/>
        <w:gridCol w:w="9498"/>
        <w:gridCol w:w="2800"/>
      </w:tblGrid>
      <w:tr w:rsidR="00BA0EC8" w:rsidRPr="00440230" w:rsidTr="00097737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jc w:val="center"/>
              <w:rPr>
                <w:color w:val="000000"/>
                <w:sz w:val="26"/>
                <w:szCs w:val="26"/>
              </w:rPr>
            </w:pPr>
            <w:r w:rsidRPr="00440230">
              <w:rPr>
                <w:color w:val="000000"/>
                <w:sz w:val="26"/>
                <w:szCs w:val="26"/>
              </w:rPr>
              <w:t>Перечень структурных элементов (основных мероприятий) муниципальной программы</w:t>
            </w:r>
          </w:p>
        </w:tc>
      </w:tr>
      <w:tr w:rsidR="00BA0EC8" w:rsidRPr="00440230" w:rsidTr="00097737">
        <w:tc>
          <w:tcPr>
            <w:tcW w:w="392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jc w:val="center"/>
              <w:rPr>
                <w:color w:val="000000"/>
              </w:rPr>
            </w:pPr>
            <w:r w:rsidRPr="00440230">
              <w:rPr>
                <w:color w:val="000000"/>
              </w:rPr>
              <w:t>№ структурного элемента (основного мероприятия)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jc w:val="center"/>
              <w:rPr>
                <w:color w:val="000000"/>
              </w:rPr>
            </w:pPr>
            <w:r w:rsidRPr="00440230">
              <w:rPr>
                <w:color w:val="000000"/>
              </w:rPr>
              <w:t>Наименование структурного элемента (основного мероприятия)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jc w:val="center"/>
              <w:rPr>
                <w:color w:val="000000"/>
              </w:rPr>
            </w:pPr>
            <w:r w:rsidRPr="00440230">
              <w:rPr>
                <w:color w:val="00000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jc w:val="center"/>
              <w:rPr>
                <w:color w:val="000000"/>
              </w:rPr>
            </w:pPr>
            <w:r w:rsidRPr="00440230">
              <w:rPr>
                <w:color w:val="000000"/>
              </w:rPr>
              <w:t>Наименование порядка, номер приложения (при наличии)</w:t>
            </w:r>
          </w:p>
        </w:tc>
      </w:tr>
      <w:tr w:rsidR="00BA0EC8" w:rsidRPr="00440230" w:rsidTr="00097737">
        <w:tc>
          <w:tcPr>
            <w:tcW w:w="392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jc w:val="center"/>
              <w:rPr>
                <w:color w:val="000000"/>
              </w:rPr>
            </w:pPr>
            <w:r w:rsidRPr="00440230">
              <w:rPr>
                <w:color w:val="000000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jc w:val="center"/>
              <w:rPr>
                <w:color w:val="000000"/>
              </w:rPr>
            </w:pPr>
            <w:r w:rsidRPr="00440230">
              <w:rPr>
                <w:color w:val="000000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jc w:val="center"/>
              <w:rPr>
                <w:color w:val="000000"/>
              </w:rPr>
            </w:pPr>
            <w:r w:rsidRPr="00440230">
              <w:rPr>
                <w:color w:val="000000"/>
              </w:rPr>
              <w:t>3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jc w:val="center"/>
              <w:rPr>
                <w:color w:val="000000"/>
              </w:rPr>
            </w:pPr>
            <w:r w:rsidRPr="00440230">
              <w:rPr>
                <w:color w:val="000000"/>
              </w:rPr>
              <w:t>4</w:t>
            </w:r>
          </w:p>
        </w:tc>
      </w:tr>
      <w:tr w:rsidR="00BA0EC8" w:rsidRPr="00440230" w:rsidTr="00097737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jc w:val="center"/>
              <w:rPr>
                <w:color w:val="000000"/>
              </w:rPr>
            </w:pPr>
            <w:r w:rsidRPr="00440230">
              <w:rPr>
                <w:color w:val="000000"/>
              </w:rPr>
              <w:t>Цель - Комплексное решение проблем благоустройства и санитарного содержания территории города Когалыма, повышение уровня внешнего благоустройства, создание условий для решения вопросов местного значения, обеспечение благополучной эпизоотической обстановки в городе Когалыме.</w:t>
            </w:r>
          </w:p>
        </w:tc>
      </w:tr>
      <w:tr w:rsidR="00BA0EC8" w:rsidRPr="00440230" w:rsidTr="00097737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jc w:val="center"/>
              <w:rPr>
                <w:color w:val="000000"/>
              </w:rPr>
            </w:pPr>
            <w:r w:rsidRPr="00440230">
              <w:rPr>
                <w:color w:val="000000"/>
              </w:rPr>
              <w:t>Задача №1. Организация благоустройства территории города Когалыма, включая озеленение территории, создание и содержание объектов городского хозяйства города Когалыма</w:t>
            </w:r>
          </w:p>
        </w:tc>
      </w:tr>
      <w:tr w:rsidR="00BA0EC8" w:rsidRPr="00440230" w:rsidTr="00097737">
        <w:trPr>
          <w:trHeight w:val="4214"/>
        </w:trPr>
        <w:tc>
          <w:tcPr>
            <w:tcW w:w="392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jc w:val="center"/>
              <w:rPr>
                <w:color w:val="000000"/>
              </w:rPr>
            </w:pPr>
            <w:r w:rsidRPr="00440230">
              <w:rPr>
                <w:color w:val="000000"/>
              </w:rPr>
              <w:t>1.1.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rPr>
                <w:color w:val="000000"/>
              </w:rPr>
            </w:pPr>
            <w:r w:rsidRPr="00440230">
              <w:rPr>
                <w:color w:val="000000"/>
              </w:rPr>
              <w:t>Создание, содержание, ремонт, в том числе капитальный объектов городского хозяйства города Когалыма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rPr>
                <w:color w:val="000000"/>
              </w:rPr>
            </w:pPr>
            <w:r w:rsidRPr="00440230">
              <w:rPr>
                <w:color w:val="000000"/>
              </w:rPr>
              <w:t>1. Выполнение муниципальной работы «Уборка территории и аналогичная деятельность», в рамках которой осуществляется содержание объектов благоустройства, в том числе уборка, мелкий ремонт, очистка от грязи, наледи и снега, включая детские игровые городки.</w:t>
            </w:r>
            <w:r w:rsidRPr="00440230">
              <w:rPr>
                <w:color w:val="000000"/>
              </w:rPr>
              <w:br/>
              <w:t xml:space="preserve">2. Обеспечение бесперебойной работы </w:t>
            </w:r>
            <w:r w:rsidRPr="00440230">
              <w:t>сухого</w:t>
            </w:r>
            <w:r w:rsidRPr="00440230">
              <w:rPr>
                <w:color w:val="000000"/>
              </w:rPr>
              <w:t xml:space="preserve"> фонтана, расположенного на площади по улице Мира (расконсервация, запуск, обслуживание, консервация).</w:t>
            </w:r>
            <w:r w:rsidRPr="00440230">
              <w:rPr>
                <w:color w:val="000000"/>
              </w:rPr>
              <w:br/>
              <w:t>3. Поставка, сборка, разборка и содержание зимних горок.</w:t>
            </w:r>
            <w:r w:rsidRPr="00440230">
              <w:rPr>
                <w:color w:val="000000"/>
              </w:rPr>
              <w:br/>
              <w:t>4. Выполнение работ по пошиву (ремонту) флаговых композиций.</w:t>
            </w:r>
            <w:r w:rsidRPr="00440230">
              <w:rPr>
                <w:color w:val="000000"/>
              </w:rPr>
              <w:br/>
              <w:t>5. Содержание площадок для выгула животных, ДОГ-боксо</w:t>
            </w:r>
            <w:r>
              <w:rPr>
                <w:color w:val="000000"/>
              </w:rPr>
              <w:t xml:space="preserve">в, их приобретение и установка </w:t>
            </w:r>
            <w:r w:rsidRPr="004402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</w:t>
            </w:r>
            <w:r w:rsidRPr="00440230">
              <w:rPr>
                <w:color w:val="000000"/>
              </w:rPr>
              <w:t xml:space="preserve"> 6. Выполнение работ по обустройству пешеходных дорожек и тротуаров.                                                                                                            7. Поставка, монтаж и установка стационарного игрового оборудования детских игровых площадок на территории города Когалыма.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     </w:t>
            </w:r>
            <w:r w:rsidRPr="00440230">
              <w:rPr>
                <w:color w:val="000000"/>
              </w:rPr>
              <w:t xml:space="preserve">      8. Приобретение хозяйственного инвентаря для проведения субботников.                                                                                                   9. Обустройство контейнерных площадок, в том числе содержание.                           </w:t>
            </w:r>
            <w:r>
              <w:rPr>
                <w:color w:val="000000"/>
              </w:rPr>
              <w:t xml:space="preserve">                                                  </w:t>
            </w:r>
            <w:r w:rsidRPr="00440230">
              <w:rPr>
                <w:color w:val="000000"/>
              </w:rPr>
              <w:t xml:space="preserve">10. Погрузка и вывоз снега с дворовых территорий.                                                </w:t>
            </w:r>
            <w:r>
              <w:rPr>
                <w:color w:val="000000"/>
              </w:rPr>
              <w:t xml:space="preserve">                    </w:t>
            </w:r>
            <w:r w:rsidRPr="00440230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               </w:t>
            </w:r>
            <w:r w:rsidRPr="00440230">
              <w:rPr>
                <w:color w:val="000000"/>
              </w:rPr>
              <w:t xml:space="preserve"> 11. Обустройство, промывка ливневой канализации.                                           </w:t>
            </w:r>
            <w:r>
              <w:rPr>
                <w:color w:val="000000"/>
              </w:rPr>
              <w:t xml:space="preserve">                                         </w:t>
            </w:r>
            <w:r w:rsidRPr="00440230">
              <w:rPr>
                <w:color w:val="000000"/>
              </w:rPr>
              <w:t xml:space="preserve"> 12.Откачка ливневых стоков.                                                                                          </w:t>
            </w:r>
            <w:r>
              <w:rPr>
                <w:color w:val="000000"/>
              </w:rPr>
              <w:t xml:space="preserve">          </w:t>
            </w:r>
            <w:r w:rsidRPr="004402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</w:t>
            </w:r>
            <w:r w:rsidRPr="00440230">
              <w:rPr>
                <w:color w:val="000000"/>
              </w:rPr>
              <w:t xml:space="preserve">  13. Вывоз твердых коммунальных отходов с объекта благоустройства Этнодеревня и после праздничных мероприятий. </w:t>
            </w:r>
          </w:p>
          <w:p w:rsidR="00BA0EC8" w:rsidRPr="00440230" w:rsidRDefault="00BA0EC8" w:rsidP="00097737">
            <w:pPr>
              <w:rPr>
                <w:color w:val="000000"/>
              </w:rPr>
            </w:pP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jc w:val="center"/>
            </w:pPr>
            <w:r w:rsidRPr="00440230">
              <w:t>-</w:t>
            </w:r>
          </w:p>
        </w:tc>
      </w:tr>
    </w:tbl>
    <w:p w:rsidR="00BA0EC8" w:rsidRDefault="00BA0EC8" w:rsidP="00BA0EC8">
      <w:pPr>
        <w:jc w:val="center"/>
        <w:rPr>
          <w:color w:val="000000"/>
        </w:rPr>
        <w:sectPr w:rsidR="00BA0EC8" w:rsidSect="000048A6">
          <w:pgSz w:w="16838" w:h="11906" w:orient="landscape"/>
          <w:pgMar w:top="2552" w:right="567" w:bottom="284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2166"/>
        <w:gridCol w:w="9498"/>
        <w:gridCol w:w="2800"/>
      </w:tblGrid>
      <w:tr w:rsidR="00BA0EC8" w:rsidRPr="00296C80" w:rsidTr="00097737">
        <w:tc>
          <w:tcPr>
            <w:tcW w:w="392" w:type="pct"/>
            <w:shd w:val="clear" w:color="auto" w:fill="auto"/>
            <w:vAlign w:val="center"/>
          </w:tcPr>
          <w:p w:rsidR="00BA0EC8" w:rsidRPr="00296C80" w:rsidRDefault="00BA0EC8" w:rsidP="00097737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BA0EC8" w:rsidRPr="00296C80" w:rsidRDefault="00BA0EC8" w:rsidP="00097737">
            <w:pPr>
              <w:rPr>
                <w:color w:val="000000"/>
                <w:spacing w:val="-6"/>
              </w:rPr>
            </w:pPr>
          </w:p>
        </w:tc>
        <w:tc>
          <w:tcPr>
            <w:tcW w:w="3026" w:type="pct"/>
            <w:shd w:val="clear" w:color="auto" w:fill="auto"/>
            <w:vAlign w:val="center"/>
          </w:tcPr>
          <w:p w:rsidR="00BA0EC8" w:rsidRPr="00296C80" w:rsidRDefault="00BA0EC8" w:rsidP="00097737">
            <w:pPr>
              <w:rPr>
                <w:color w:val="000000"/>
                <w:spacing w:val="-6"/>
              </w:rPr>
            </w:pPr>
            <w:r w:rsidRPr="00296C80">
              <w:rPr>
                <w:color w:val="000000"/>
                <w:spacing w:val="-6"/>
              </w:rPr>
              <w:t xml:space="preserve">14. Выполнение работ по ремонту сетей наружного освещения пешеходного моста через реку Ингу-Ягун по адресу: город Когалым, район Административного здания блока «С».                   </w:t>
            </w:r>
          </w:p>
          <w:p w:rsidR="00BA0EC8" w:rsidRPr="00296C80" w:rsidRDefault="00BA0EC8" w:rsidP="00097737">
            <w:pPr>
              <w:rPr>
                <w:color w:val="000000"/>
                <w:spacing w:val="-6"/>
              </w:rPr>
            </w:pPr>
            <w:r w:rsidRPr="00296C80">
              <w:rPr>
                <w:color w:val="000000"/>
                <w:spacing w:val="-6"/>
              </w:rPr>
              <w:t xml:space="preserve">15. Ремонт пешеходного моста через реку Ингу-Ягун по адресу: город Когалым, район Административного здания блока «С».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pacing w:val="-6"/>
              </w:rPr>
              <w:t xml:space="preserve">                                     </w:t>
            </w:r>
            <w:r w:rsidRPr="00296C80">
              <w:rPr>
                <w:color w:val="000000"/>
                <w:spacing w:val="-6"/>
              </w:rPr>
              <w:t xml:space="preserve"> 16. Перенос общественного туалета.                                                                                                                                     </w:t>
            </w:r>
            <w:r>
              <w:rPr>
                <w:color w:val="000000"/>
                <w:spacing w:val="-6"/>
              </w:rPr>
              <w:t xml:space="preserve">                </w:t>
            </w:r>
            <w:r w:rsidRPr="00296C80">
              <w:rPr>
                <w:color w:val="000000"/>
                <w:spacing w:val="-6"/>
              </w:rPr>
              <w:t xml:space="preserve">      17. Изготовление технических планов для постановки на кадастровый учет сетей наружного освещения.                                                                                                                                               18. Приобретение баннеров.                                                                                                                                               </w:t>
            </w:r>
            <w:r>
              <w:rPr>
                <w:color w:val="000000"/>
                <w:spacing w:val="-6"/>
              </w:rPr>
              <w:t xml:space="preserve">                    </w:t>
            </w:r>
            <w:r w:rsidRPr="00296C80">
              <w:rPr>
                <w:color w:val="000000"/>
                <w:spacing w:val="-6"/>
              </w:rPr>
              <w:t xml:space="preserve">  19. Покраска, отделка фасадов зданий, сооружений, расположенных на территории города Когалыма.                                                                                                                                             20. Содержание объекта «Этнодеревня в городе Когалыме».                                                                                                                   21. Промывка сетей ливневой канализации.                                                                                                                         </w:t>
            </w:r>
            <w:r>
              <w:rPr>
                <w:color w:val="000000"/>
                <w:spacing w:val="-6"/>
              </w:rPr>
              <w:t xml:space="preserve">               </w:t>
            </w:r>
            <w:r w:rsidRPr="00296C80">
              <w:rPr>
                <w:color w:val="000000"/>
                <w:spacing w:val="-6"/>
              </w:rPr>
              <w:t xml:space="preserve">    22. Приобретение искусственных веток «Сакуры».                                                                                                       </w:t>
            </w:r>
            <w:r>
              <w:rPr>
                <w:color w:val="000000"/>
                <w:spacing w:val="-6"/>
              </w:rPr>
              <w:t xml:space="preserve">                     </w:t>
            </w:r>
            <w:r w:rsidRPr="00296C80">
              <w:rPr>
                <w:color w:val="000000"/>
                <w:spacing w:val="-6"/>
              </w:rPr>
              <w:t xml:space="preserve">  23. Выполнение работ по разработке проектно-сметной документации для строительства сетей наружного освещения.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pacing w:val="-6"/>
              </w:rPr>
              <w:t xml:space="preserve">                      </w:t>
            </w:r>
            <w:r w:rsidRPr="00296C80">
              <w:rPr>
                <w:color w:val="000000"/>
                <w:spacing w:val="-6"/>
              </w:rPr>
              <w:t>24. Покос травы вдоль автомобильных дорог города Когалыма.</w:t>
            </w:r>
            <w:r w:rsidRPr="00296C80">
              <w:rPr>
                <w:color w:val="000000"/>
                <w:spacing w:val="-6"/>
              </w:rPr>
              <w:br/>
              <w:t>25. Ликвидация несанкционированных свалок.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BA0EC8" w:rsidRPr="00296C80" w:rsidRDefault="00BA0EC8" w:rsidP="00097737">
            <w:pPr>
              <w:jc w:val="center"/>
              <w:rPr>
                <w:spacing w:val="-6"/>
              </w:rPr>
            </w:pPr>
          </w:p>
        </w:tc>
      </w:tr>
      <w:tr w:rsidR="00BA0EC8" w:rsidRPr="00296C80" w:rsidTr="00097737">
        <w:tc>
          <w:tcPr>
            <w:tcW w:w="392" w:type="pct"/>
            <w:shd w:val="clear" w:color="auto" w:fill="auto"/>
            <w:vAlign w:val="center"/>
            <w:hideMark/>
          </w:tcPr>
          <w:p w:rsidR="00BA0EC8" w:rsidRPr="00296C80" w:rsidRDefault="00BA0EC8" w:rsidP="00097737">
            <w:pPr>
              <w:jc w:val="center"/>
              <w:rPr>
                <w:color w:val="000000"/>
                <w:spacing w:val="-6"/>
              </w:rPr>
            </w:pPr>
            <w:r w:rsidRPr="00296C80">
              <w:rPr>
                <w:color w:val="000000"/>
                <w:spacing w:val="-6"/>
              </w:rPr>
              <w:t>1.2.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A0EC8" w:rsidRPr="00296C80" w:rsidRDefault="00BA0EC8" w:rsidP="00097737">
            <w:pPr>
              <w:rPr>
                <w:color w:val="000000"/>
                <w:spacing w:val="-6"/>
              </w:rPr>
            </w:pPr>
            <w:r w:rsidRPr="00296C80">
              <w:rPr>
                <w:color w:val="000000"/>
                <w:spacing w:val="-6"/>
              </w:rPr>
              <w:t xml:space="preserve">Организация освещения территорий города Когалыма 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BA0EC8" w:rsidRPr="00296C80" w:rsidRDefault="00BA0EC8" w:rsidP="00097737">
            <w:pPr>
              <w:rPr>
                <w:color w:val="000000"/>
                <w:spacing w:val="-6"/>
              </w:rPr>
            </w:pPr>
            <w:r w:rsidRPr="00296C80">
              <w:rPr>
                <w:color w:val="000000"/>
                <w:spacing w:val="-6"/>
              </w:rPr>
              <w:t>1.Электроснабжение потребителей города Когалыма. Отсутствие аварий, повлекших за собой длительное отключение электроэнергии, а также своевременное оказание услуг по техническому обслуживанию и ремонту электрооборудования наружного освещения объектов города.</w:t>
            </w:r>
          </w:p>
          <w:p w:rsidR="00BA0EC8" w:rsidRPr="00296C80" w:rsidRDefault="00BA0EC8" w:rsidP="00097737">
            <w:pPr>
              <w:rPr>
                <w:color w:val="000000"/>
                <w:spacing w:val="-6"/>
              </w:rPr>
            </w:pPr>
            <w:r w:rsidRPr="00296C80">
              <w:rPr>
                <w:color w:val="000000"/>
                <w:spacing w:val="-6"/>
              </w:rPr>
              <w:br w:type="page"/>
              <w:t>2. Выполнение работ по техническому обслуживанию и текущему ремонту сетей уличного освещения.</w:t>
            </w:r>
            <w:r w:rsidRPr="00296C80">
              <w:rPr>
                <w:color w:val="000000"/>
                <w:spacing w:val="-6"/>
              </w:rPr>
              <w:br w:type="page"/>
            </w:r>
          </w:p>
          <w:p w:rsidR="00BA0EC8" w:rsidRPr="00296C80" w:rsidRDefault="00BA0EC8" w:rsidP="00097737">
            <w:pPr>
              <w:rPr>
                <w:color w:val="000000"/>
                <w:spacing w:val="-6"/>
              </w:rPr>
            </w:pPr>
            <w:r w:rsidRPr="00296C80">
              <w:rPr>
                <w:color w:val="000000"/>
                <w:spacing w:val="-6"/>
              </w:rPr>
              <w:t>3. Выполнение  работ по установке (замене) исполнительных пунктов, замене светильников.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A0EC8" w:rsidRPr="00296C80" w:rsidRDefault="00BA0EC8" w:rsidP="00097737">
            <w:pPr>
              <w:jc w:val="center"/>
              <w:rPr>
                <w:spacing w:val="-6"/>
              </w:rPr>
            </w:pPr>
            <w:r w:rsidRPr="00296C80">
              <w:rPr>
                <w:spacing w:val="-6"/>
              </w:rPr>
              <w:t>-</w:t>
            </w:r>
          </w:p>
        </w:tc>
      </w:tr>
      <w:tr w:rsidR="00BA0EC8" w:rsidRPr="00296C80" w:rsidTr="00097737">
        <w:tc>
          <w:tcPr>
            <w:tcW w:w="392" w:type="pct"/>
            <w:shd w:val="clear" w:color="auto" w:fill="auto"/>
            <w:noWrap/>
            <w:vAlign w:val="center"/>
            <w:hideMark/>
          </w:tcPr>
          <w:p w:rsidR="00BA0EC8" w:rsidRPr="00296C80" w:rsidRDefault="00BA0EC8" w:rsidP="00097737">
            <w:pPr>
              <w:jc w:val="center"/>
              <w:rPr>
                <w:spacing w:val="-6"/>
              </w:rPr>
            </w:pPr>
            <w:r w:rsidRPr="00296C80">
              <w:rPr>
                <w:spacing w:val="-6"/>
              </w:rPr>
              <w:t>1.3.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A0EC8" w:rsidRPr="00296C80" w:rsidRDefault="00BA0EC8" w:rsidP="00097737">
            <w:pPr>
              <w:rPr>
                <w:color w:val="000000"/>
                <w:spacing w:val="-6"/>
              </w:rPr>
            </w:pPr>
            <w:r w:rsidRPr="00296C80">
              <w:rPr>
                <w:color w:val="000000"/>
                <w:spacing w:val="-6"/>
              </w:rPr>
              <w:t>Организация ритуальных услуг и содержание мест захоронения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BA0EC8" w:rsidRPr="00296C80" w:rsidRDefault="00BA0EC8" w:rsidP="00097737">
            <w:pPr>
              <w:rPr>
                <w:color w:val="000000"/>
                <w:spacing w:val="-6"/>
              </w:rPr>
            </w:pPr>
            <w:r w:rsidRPr="00296C80">
              <w:rPr>
                <w:color w:val="000000"/>
                <w:spacing w:val="-6"/>
              </w:rPr>
              <w:t>1. Содержание территории городского кладбища.</w:t>
            </w:r>
            <w:r w:rsidRPr="00296C80">
              <w:rPr>
                <w:color w:val="000000"/>
                <w:spacing w:val="-6"/>
              </w:rPr>
              <w:br/>
              <w:t>2. Организация ритуальных услуг.</w:t>
            </w:r>
            <w:r w:rsidRPr="00296C80">
              <w:rPr>
                <w:color w:val="000000"/>
                <w:spacing w:val="-6"/>
              </w:rPr>
              <w:br/>
            </w:r>
            <w:r w:rsidRPr="00296C80">
              <w:rPr>
                <w:spacing w:val="-6"/>
              </w:rPr>
              <w:t xml:space="preserve">3. Оказание по перевозке умерших.                                                                                          </w:t>
            </w:r>
            <w:r>
              <w:rPr>
                <w:spacing w:val="-6"/>
              </w:rPr>
              <w:t xml:space="preserve">                                                  </w:t>
            </w:r>
            <w:r w:rsidRPr="00296C80">
              <w:rPr>
                <w:spacing w:val="-6"/>
              </w:rPr>
              <w:t xml:space="preserve">          4. Инвентаризация кладбищ и мест захоронения на территории города Когалыма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A0EC8" w:rsidRPr="00296C80" w:rsidRDefault="00BA0EC8" w:rsidP="00097737">
            <w:pPr>
              <w:rPr>
                <w:spacing w:val="-6"/>
              </w:rPr>
            </w:pPr>
            <w:r w:rsidRPr="00296C80">
              <w:rPr>
                <w:spacing w:val="-6"/>
              </w:rPr>
              <w:t>Постановление Администрации города Когалыма от 25.12.2014 №3523 «Об утверждении Положения об организации ритуальных услуг и содержании мест захоронения в городе Когалыме», постановление Администрации города Когалыма от 28.06.2019 №1417 «Об утверждении Порядка предоставления субсидии из бюджета города Когалыма  на возмещение части затрат в связи с оказанием ритуальных услуг»</w:t>
            </w:r>
          </w:p>
        </w:tc>
      </w:tr>
    </w:tbl>
    <w:p w:rsidR="00BA0EC8" w:rsidRDefault="00BA0EC8" w:rsidP="00BA0EC8">
      <w:pPr>
        <w:jc w:val="center"/>
        <w:rPr>
          <w:spacing w:val="-6"/>
        </w:rPr>
        <w:sectPr w:rsidR="00BA0EC8" w:rsidSect="00296C80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2166"/>
        <w:gridCol w:w="9498"/>
        <w:gridCol w:w="2800"/>
      </w:tblGrid>
      <w:tr w:rsidR="00BA0EC8" w:rsidRPr="00296C80" w:rsidTr="00097737">
        <w:tc>
          <w:tcPr>
            <w:tcW w:w="392" w:type="pct"/>
            <w:shd w:val="clear" w:color="auto" w:fill="auto"/>
            <w:noWrap/>
            <w:vAlign w:val="center"/>
            <w:hideMark/>
          </w:tcPr>
          <w:p w:rsidR="00BA0EC8" w:rsidRPr="00296C80" w:rsidRDefault="00BA0EC8" w:rsidP="00097737">
            <w:pPr>
              <w:jc w:val="center"/>
              <w:rPr>
                <w:spacing w:val="-6"/>
              </w:rPr>
            </w:pPr>
            <w:r w:rsidRPr="00296C80">
              <w:rPr>
                <w:spacing w:val="-6"/>
              </w:rPr>
              <w:t>1.7.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A0EC8" w:rsidRPr="00296C80" w:rsidRDefault="00BA0EC8" w:rsidP="00097737">
            <w:pPr>
              <w:rPr>
                <w:color w:val="000000"/>
                <w:spacing w:val="-6"/>
              </w:rPr>
            </w:pPr>
            <w:r w:rsidRPr="00296C80">
              <w:rPr>
                <w:color w:val="000000"/>
                <w:spacing w:val="-6"/>
              </w:rPr>
              <w:t>Архитектурная подсветка улиц, зданий, сооружений и жилых домов, расположенных на</w:t>
            </w:r>
            <w:r w:rsidRPr="00296C80">
              <w:rPr>
                <w:color w:val="000000"/>
                <w:spacing w:val="-6"/>
              </w:rPr>
              <w:br/>
              <w:t>территории города Когалыма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BA0EC8" w:rsidRPr="00296C80" w:rsidRDefault="00BA0EC8" w:rsidP="00097737">
            <w:pPr>
              <w:rPr>
                <w:color w:val="000000"/>
                <w:spacing w:val="-6"/>
              </w:rPr>
            </w:pPr>
            <w:r w:rsidRPr="00296C80">
              <w:rPr>
                <w:color w:val="000000"/>
                <w:spacing w:val="-6"/>
              </w:rPr>
              <w:t>Выполнение мероприятий по приобретению и установке (обустройству) архитектурной подсветки объектов, расположенных на территории города Когалыма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A0EC8" w:rsidRPr="00296C80" w:rsidRDefault="00BA0EC8" w:rsidP="00097737">
            <w:pPr>
              <w:rPr>
                <w:spacing w:val="-6"/>
              </w:rPr>
            </w:pPr>
            <w:r w:rsidRPr="00296C80">
              <w:rPr>
                <w:spacing w:val="-6"/>
              </w:rPr>
              <w:t> </w:t>
            </w:r>
          </w:p>
        </w:tc>
      </w:tr>
      <w:tr w:rsidR="00BA0EC8" w:rsidRPr="00440230" w:rsidTr="00097737">
        <w:tc>
          <w:tcPr>
            <w:tcW w:w="392" w:type="pct"/>
            <w:shd w:val="clear" w:color="auto" w:fill="auto"/>
            <w:noWrap/>
            <w:vAlign w:val="center"/>
            <w:hideMark/>
          </w:tcPr>
          <w:p w:rsidR="00BA0EC8" w:rsidRPr="00440230" w:rsidRDefault="00BA0EC8" w:rsidP="00097737">
            <w:pPr>
              <w:jc w:val="center"/>
            </w:pPr>
            <w:r w:rsidRPr="00440230">
              <w:t>1.8.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rPr>
                <w:color w:val="000000"/>
              </w:rPr>
            </w:pPr>
            <w:r w:rsidRPr="00440230">
              <w:rPr>
                <w:color w:val="000000"/>
              </w:rPr>
              <w:t>Обследование и снос зданий, сооружений, расположенных на территории города Когалыма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rPr>
                <w:color w:val="000000"/>
              </w:rPr>
            </w:pPr>
            <w:r w:rsidRPr="00440230">
              <w:rPr>
                <w:color w:val="000000"/>
              </w:rPr>
              <w:t>Выполнение работ по обследованию жилого помещения, расположенного по адресу: г. Когалым, ул. Заречная, д.11, демонтажу и утилизации непригодного для эксплуатации здания «Котельная №2», расположенного по адресу: город Когалым, улица Нефтяников, 15.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r w:rsidRPr="00440230">
              <w:t> </w:t>
            </w:r>
          </w:p>
        </w:tc>
      </w:tr>
      <w:tr w:rsidR="00BA0EC8" w:rsidRPr="00440230" w:rsidTr="00097737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jc w:val="center"/>
              <w:rPr>
                <w:color w:val="000000"/>
              </w:rPr>
            </w:pPr>
            <w:r w:rsidRPr="00440230">
              <w:rPr>
                <w:color w:val="000000"/>
              </w:rPr>
              <w:t>Задача  №2. Обеспечение деятельности муниципальных учреждений для решения вопросов местного значения</w:t>
            </w:r>
          </w:p>
        </w:tc>
      </w:tr>
      <w:tr w:rsidR="00BA0EC8" w:rsidRPr="00440230" w:rsidTr="00097737">
        <w:tc>
          <w:tcPr>
            <w:tcW w:w="392" w:type="pct"/>
            <w:shd w:val="clear" w:color="auto" w:fill="auto"/>
            <w:noWrap/>
            <w:vAlign w:val="center"/>
            <w:hideMark/>
          </w:tcPr>
          <w:p w:rsidR="00BA0EC8" w:rsidRPr="00440230" w:rsidRDefault="00BA0EC8" w:rsidP="00097737">
            <w:pPr>
              <w:jc w:val="center"/>
            </w:pPr>
            <w:r w:rsidRPr="00440230">
              <w:t>1.4.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r w:rsidRPr="00440230">
              <w:t>Реализация полномочий переданных Администрации города Когалыма в сферах жилищно-коммунального комплекса и городского хозяйства, в рамках осуществления учреждением функций заказчика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r w:rsidRPr="00440230">
              <w:t>Организация выполнения мероприятий по проведению дезинсекции и дератизации.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jc w:val="center"/>
            </w:pPr>
            <w:r w:rsidRPr="00440230">
              <w:t>-</w:t>
            </w:r>
          </w:p>
        </w:tc>
      </w:tr>
      <w:tr w:rsidR="00BA0EC8" w:rsidRPr="00440230" w:rsidTr="00097737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jc w:val="center"/>
              <w:rPr>
                <w:color w:val="000000"/>
              </w:rPr>
            </w:pPr>
            <w:r w:rsidRPr="00440230">
              <w:rPr>
                <w:color w:val="000000"/>
              </w:rPr>
              <w:t>Задача №3. Обеспечение стабильной благополучной эпизоотической обстановки в городе Когалыме, включая защиту населения от болезней, общих для человека и животных.</w:t>
            </w:r>
          </w:p>
        </w:tc>
      </w:tr>
      <w:tr w:rsidR="00BA0EC8" w:rsidRPr="00440230" w:rsidTr="00097737">
        <w:tc>
          <w:tcPr>
            <w:tcW w:w="392" w:type="pct"/>
            <w:shd w:val="clear" w:color="auto" w:fill="auto"/>
            <w:noWrap/>
            <w:vAlign w:val="center"/>
            <w:hideMark/>
          </w:tcPr>
          <w:p w:rsidR="00BA0EC8" w:rsidRPr="00440230" w:rsidRDefault="00BA0EC8" w:rsidP="00097737">
            <w:pPr>
              <w:jc w:val="center"/>
            </w:pPr>
            <w:r w:rsidRPr="00440230">
              <w:t>1.5.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rPr>
                <w:color w:val="000000"/>
              </w:rPr>
            </w:pPr>
            <w:r w:rsidRPr="00440230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r w:rsidRPr="00440230">
              <w:t>Организация мероприятий по обращению с животными без владельцев:</w:t>
            </w:r>
            <w:r w:rsidRPr="00440230">
              <w:br/>
              <w:t>- отлов животных без владельцев, в том числе их транспортировку и немедленную передачу в приюты для животных;</w:t>
            </w:r>
            <w:r w:rsidRPr="00440230">
              <w:br/>
              <w:t>- содержание животных без владельцев в приютах для животных;</w:t>
            </w:r>
            <w:r w:rsidRPr="00440230">
              <w:br/>
              <w:t>- возврат потерявшихся животных их владельцам, а также поиск новых владельцев поступившим в приюты для животных животным без владельцев;</w:t>
            </w:r>
            <w:r w:rsidRPr="00440230">
              <w:br/>
              <w:t>- возврат животных без владельцев, не проявляющих немотивированной агрессивности, на прежние места их обитания;</w:t>
            </w:r>
            <w:r w:rsidRPr="00440230">
              <w:br/>
              <w:t>-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r w:rsidRPr="00440230">
              <w:t xml:space="preserve">Постановление Администрации города Когалыма от 06.08.2020 №1397 «Об определении уполномоченного органа по осуществлению отдельного государственного полномочия Ханты-Мансийского автономного округа - Югры по организации мероприятий при осуществлении деятельности по обращению с животными без владельцев в городе Когалыме».                                           </w:t>
            </w:r>
          </w:p>
        </w:tc>
      </w:tr>
    </w:tbl>
    <w:p w:rsidR="00BA0EC8" w:rsidRDefault="00BA0EC8" w:rsidP="00BA0EC8">
      <w:pPr>
        <w:jc w:val="center"/>
        <w:sectPr w:rsidR="00BA0EC8" w:rsidSect="00296C80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2166"/>
        <w:gridCol w:w="9498"/>
        <w:gridCol w:w="2800"/>
      </w:tblGrid>
      <w:tr w:rsidR="00BA0EC8" w:rsidRPr="00440230" w:rsidTr="00097737">
        <w:tc>
          <w:tcPr>
            <w:tcW w:w="392" w:type="pct"/>
            <w:shd w:val="clear" w:color="auto" w:fill="auto"/>
            <w:noWrap/>
            <w:vAlign w:val="center"/>
            <w:hideMark/>
          </w:tcPr>
          <w:p w:rsidR="00BA0EC8" w:rsidRPr="00440230" w:rsidRDefault="00BA0EC8" w:rsidP="00097737">
            <w:pPr>
              <w:jc w:val="center"/>
            </w:pPr>
            <w:r w:rsidRPr="00440230">
              <w:t>1.6.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rPr>
                <w:color w:val="000000"/>
              </w:rPr>
            </w:pPr>
            <w:r w:rsidRPr="00440230">
              <w:rPr>
                <w:color w:val="000000"/>
              </w:rPr>
              <w:t>Создание приюта для животных на территории города Когалыма</w:t>
            </w:r>
          </w:p>
        </w:tc>
        <w:tc>
          <w:tcPr>
            <w:tcW w:w="3026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pPr>
              <w:rPr>
                <w:color w:val="000000"/>
              </w:rPr>
            </w:pPr>
            <w:r w:rsidRPr="00440230">
              <w:rPr>
                <w:color w:val="000000"/>
              </w:rPr>
              <w:t xml:space="preserve">1. Выполнение проектно-изыскательских работ для объекта «Реконструкция производственного здания №2, расположенного по адресу: город Когалым, улица Повховское шоссе, 2 строение 13, под объект «Приют для животных в городе Когалыме».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</w:t>
            </w:r>
            <w:r w:rsidRPr="00440230">
              <w:rPr>
                <w:color w:val="000000"/>
              </w:rPr>
              <w:t xml:space="preserve">   2.Выполнение отделочных работ на объекте «Приют для животных в городе Когалыме», расположенном по адресу: город Когалым, улица Повховское шоссе, 2.                                                                                                                                          3. Выполнение работ по заглублению ограждения территории «Приют для животных» в землю.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BA0EC8" w:rsidRPr="00440230" w:rsidRDefault="00BA0EC8" w:rsidP="00097737">
            <w:r w:rsidRPr="00440230">
              <w:t> </w:t>
            </w:r>
          </w:p>
        </w:tc>
      </w:tr>
    </w:tbl>
    <w:p w:rsidR="00BA0EC8" w:rsidRDefault="00BA0EC8" w:rsidP="00BA0EC8">
      <w:pPr>
        <w:jc w:val="center"/>
        <w:rPr>
          <w:sz w:val="26"/>
          <w:szCs w:val="26"/>
        </w:rPr>
      </w:pPr>
    </w:p>
    <w:p w:rsidR="00D926D8" w:rsidRDefault="00D926D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BA0EC8" w:rsidRDefault="00BA0EC8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661227" w:rsidRPr="00661227" w:rsidRDefault="00661227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  <w:r w:rsidRPr="00661227">
        <w:rPr>
          <w:rFonts w:eastAsia="Calibri"/>
          <w:sz w:val="26"/>
          <w:szCs w:val="26"/>
        </w:rPr>
        <w:t>Таблица 3</w:t>
      </w:r>
    </w:p>
    <w:p w:rsidR="00661227" w:rsidRPr="00661227" w:rsidRDefault="00661227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661227" w:rsidRPr="00661227" w:rsidRDefault="00661227" w:rsidP="00661227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661227">
        <w:rPr>
          <w:rFonts w:eastAsia="Calibri"/>
          <w:sz w:val="26"/>
          <w:szCs w:val="26"/>
        </w:rPr>
        <w:t>Перечень создаваемых объектов на 2024 год и на плановый период 2025 и 2026 годов, включая приобретение объектов недвижимого имущества, объектов, создаваемых в соответствии с соглашениями о муниципально-частном партнерстве (государственно-частном партнерстве) и концессионными соглашениями (заполняется в случае наличия объектов)</w:t>
      </w:r>
    </w:p>
    <w:p w:rsidR="00661227" w:rsidRPr="00661227" w:rsidRDefault="00661227" w:rsidP="00661227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661227" w:rsidRPr="00661227" w:rsidRDefault="00661227" w:rsidP="00661227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661227">
        <w:rPr>
          <w:rFonts w:eastAsia="Calibri"/>
          <w:sz w:val="26"/>
          <w:szCs w:val="26"/>
        </w:rPr>
        <w:t>тыс. рублей</w:t>
      </w: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430"/>
        <w:gridCol w:w="1053"/>
        <w:gridCol w:w="1571"/>
        <w:gridCol w:w="1737"/>
        <w:gridCol w:w="1046"/>
        <w:gridCol w:w="556"/>
        <w:gridCol w:w="374"/>
        <w:gridCol w:w="399"/>
        <w:gridCol w:w="402"/>
        <w:gridCol w:w="869"/>
        <w:gridCol w:w="556"/>
        <w:gridCol w:w="520"/>
        <w:gridCol w:w="549"/>
        <w:gridCol w:w="696"/>
        <w:gridCol w:w="869"/>
        <w:gridCol w:w="1127"/>
        <w:gridCol w:w="1400"/>
      </w:tblGrid>
      <w:tr w:rsidR="00661227" w:rsidRPr="00661227" w:rsidTr="00661227">
        <w:trPr>
          <w:trHeight w:val="309"/>
        </w:trPr>
        <w:tc>
          <w:tcPr>
            <w:tcW w:w="198" w:type="pct"/>
            <w:vMerge w:val="restar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87" w:type="pct"/>
            <w:vMerge w:val="restar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Наименование объекта</w:t>
            </w:r>
          </w:p>
        </w:tc>
        <w:tc>
          <w:tcPr>
            <w:tcW w:w="324" w:type="pct"/>
            <w:vMerge w:val="restar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Мощность</w:t>
            </w:r>
          </w:p>
        </w:tc>
        <w:tc>
          <w:tcPr>
            <w:tcW w:w="466" w:type="pct"/>
            <w:vMerge w:val="restar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Срок строительства, проектирования (характер работ)</w:t>
            </w:r>
          </w:p>
        </w:tc>
        <w:tc>
          <w:tcPr>
            <w:tcW w:w="500" w:type="pct"/>
            <w:vMerge w:val="restar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322" w:type="pct"/>
            <w:vMerge w:val="restar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Остаток стоимости на 01.01.20__</w:t>
            </w:r>
          </w:p>
        </w:tc>
        <w:tc>
          <w:tcPr>
            <w:tcW w:w="907" w:type="pct"/>
            <w:gridSpan w:val="5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Инвестиции на 20__</w:t>
            </w:r>
          </w:p>
        </w:tc>
        <w:tc>
          <w:tcPr>
            <w:tcW w:w="1139" w:type="pct"/>
            <w:gridSpan w:val="5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Инвестиции на 20__</w:t>
            </w:r>
          </w:p>
        </w:tc>
        <w:tc>
          <w:tcPr>
            <w:tcW w:w="343" w:type="pct"/>
            <w:vMerge w:val="restar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Механизм реализации</w:t>
            </w:r>
          </w:p>
        </w:tc>
        <w:tc>
          <w:tcPr>
            <w:tcW w:w="413" w:type="pct"/>
            <w:vMerge w:val="restar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Заказчик по строительству</w:t>
            </w:r>
          </w:p>
        </w:tc>
      </w:tr>
      <w:tr w:rsidR="00661227" w:rsidRPr="00661227" w:rsidTr="00661227">
        <w:tc>
          <w:tcPr>
            <w:tcW w:w="198" w:type="pct"/>
            <w:vMerge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" w:type="pct"/>
            <w:vMerge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6" w:type="pct"/>
            <w:vMerge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0" w:type="pct"/>
            <w:vMerge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2" w:type="pct"/>
            <w:vMerge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45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153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154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293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иные средства</w:t>
            </w:r>
          </w:p>
        </w:tc>
        <w:tc>
          <w:tcPr>
            <w:tcW w:w="200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200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ФБ</w:t>
            </w:r>
          </w:p>
        </w:tc>
        <w:tc>
          <w:tcPr>
            <w:tcW w:w="200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ОБ</w:t>
            </w:r>
          </w:p>
        </w:tc>
        <w:tc>
          <w:tcPr>
            <w:tcW w:w="247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МБ</w:t>
            </w:r>
          </w:p>
        </w:tc>
        <w:tc>
          <w:tcPr>
            <w:tcW w:w="293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иные средства</w:t>
            </w:r>
          </w:p>
        </w:tc>
        <w:tc>
          <w:tcPr>
            <w:tcW w:w="343" w:type="pct"/>
            <w:vMerge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61227" w:rsidRPr="00661227" w:rsidTr="00661227">
        <w:tc>
          <w:tcPr>
            <w:tcW w:w="198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7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24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66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00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22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62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5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53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54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93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00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00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200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47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293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343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413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18</w:t>
            </w:r>
          </w:p>
        </w:tc>
      </w:tr>
      <w:tr w:rsidR="00661227" w:rsidRPr="00661227" w:rsidTr="00661227">
        <w:tc>
          <w:tcPr>
            <w:tcW w:w="198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66122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7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2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4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0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3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661227" w:rsidRPr="00661227" w:rsidRDefault="00661227" w:rsidP="00661227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661227" w:rsidRPr="00661227" w:rsidRDefault="00661227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  <w:sectPr w:rsidR="00661227" w:rsidRPr="00661227" w:rsidSect="0066122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p w:rsidR="00661227" w:rsidRPr="00661227" w:rsidRDefault="00661227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  <w:r w:rsidRPr="00661227">
        <w:rPr>
          <w:rFonts w:eastAsia="Calibri"/>
          <w:sz w:val="26"/>
          <w:szCs w:val="26"/>
        </w:rPr>
        <w:t>Таблица 4</w:t>
      </w:r>
    </w:p>
    <w:p w:rsidR="00661227" w:rsidRPr="00661227" w:rsidRDefault="00661227" w:rsidP="00661227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661227" w:rsidRPr="00661227" w:rsidRDefault="00661227" w:rsidP="00661227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661227">
        <w:rPr>
          <w:rFonts w:eastAsia="Calibri"/>
          <w:sz w:val="26"/>
          <w:szCs w:val="26"/>
        </w:rPr>
        <w:t>Перечень объектов капитального строительства (заполняется при планировании объектов капитального строительства)</w:t>
      </w:r>
    </w:p>
    <w:p w:rsidR="00661227" w:rsidRPr="00661227" w:rsidRDefault="00661227" w:rsidP="00661227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5628"/>
        <w:gridCol w:w="2112"/>
        <w:gridCol w:w="3233"/>
        <w:gridCol w:w="3399"/>
      </w:tblGrid>
      <w:tr w:rsidR="00661227" w:rsidRPr="00661227" w:rsidTr="00661227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№</w:t>
            </w:r>
          </w:p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Наименование объекта (инвестиционного проекта)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Мощность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Срок строительства, проектирования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Источник финансирования</w:t>
            </w:r>
          </w:p>
        </w:tc>
      </w:tr>
      <w:tr w:rsidR="00661227" w:rsidRPr="00661227" w:rsidTr="00661227">
        <w:trPr>
          <w:jc w:val="center"/>
        </w:trPr>
        <w:tc>
          <w:tcPr>
            <w:tcW w:w="421" w:type="pct"/>
            <w:shd w:val="clear" w:color="auto" w:fill="auto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083" w:type="pct"/>
            <w:shd w:val="clear" w:color="auto" w:fill="auto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661227" w:rsidRPr="00661227" w:rsidTr="00661227">
        <w:trPr>
          <w:jc w:val="center"/>
        </w:trPr>
        <w:tc>
          <w:tcPr>
            <w:tcW w:w="421" w:type="pct"/>
            <w:shd w:val="clear" w:color="auto" w:fill="auto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27" w:rsidRPr="00661227" w:rsidRDefault="00661227" w:rsidP="00661227">
            <w:pPr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27" w:rsidRPr="00661227" w:rsidRDefault="00661227" w:rsidP="00661227">
            <w:pPr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27" w:rsidRPr="00661227" w:rsidRDefault="00661227" w:rsidP="00661227">
            <w:pPr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27" w:rsidRPr="00661227" w:rsidRDefault="00661227" w:rsidP="00661227">
            <w:pPr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</w:tbl>
    <w:p w:rsidR="00661227" w:rsidRPr="00661227" w:rsidRDefault="00661227" w:rsidP="00661227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661227" w:rsidRPr="00661227" w:rsidRDefault="00661227" w:rsidP="00661227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661227" w:rsidRPr="00661227" w:rsidRDefault="00661227" w:rsidP="00661227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  <w:sectPr w:rsidR="00661227" w:rsidRPr="00661227" w:rsidSect="00661227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p w:rsidR="00661227" w:rsidRPr="00661227" w:rsidRDefault="00661227" w:rsidP="00661227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661227">
        <w:rPr>
          <w:rFonts w:eastAsia="Calibri"/>
          <w:sz w:val="26"/>
          <w:szCs w:val="26"/>
        </w:rPr>
        <w:t xml:space="preserve">Таблица 5 </w:t>
      </w:r>
    </w:p>
    <w:p w:rsidR="00661227" w:rsidRPr="00661227" w:rsidRDefault="00661227" w:rsidP="00661227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661227" w:rsidRPr="00661227" w:rsidRDefault="00661227" w:rsidP="00661227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661227">
        <w:rPr>
          <w:rFonts w:eastAsia="Calibri"/>
          <w:sz w:val="26"/>
          <w:szCs w:val="26"/>
        </w:rPr>
        <w:t xml:space="preserve">Перечень объектов социально-культурного и коммунально-бытового назначения, масштабных инвестиционных проектов </w:t>
      </w:r>
    </w:p>
    <w:p w:rsidR="00661227" w:rsidRPr="00661227" w:rsidRDefault="00661227" w:rsidP="00661227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661227">
        <w:rPr>
          <w:rFonts w:eastAsia="Calibri"/>
          <w:sz w:val="26"/>
          <w:szCs w:val="26"/>
        </w:rPr>
        <w:t>(далее – инвестиционные проекты) (заполняется в случае наличия объектов социально-культурного и коммунально-бытового назначения, масштабных инвестиционных проектов)</w:t>
      </w:r>
    </w:p>
    <w:p w:rsidR="00661227" w:rsidRPr="00661227" w:rsidRDefault="00661227" w:rsidP="00661227">
      <w:pPr>
        <w:widowControl w:val="0"/>
        <w:tabs>
          <w:tab w:val="left" w:pos="8672"/>
        </w:tabs>
        <w:autoSpaceDE w:val="0"/>
        <w:autoSpaceDN w:val="0"/>
        <w:rPr>
          <w:rFonts w:eastAsia="Calibri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500"/>
        <w:gridCol w:w="3801"/>
        <w:gridCol w:w="7492"/>
      </w:tblGrid>
      <w:tr w:rsidR="00661227" w:rsidRPr="00661227" w:rsidTr="00661227">
        <w:tc>
          <w:tcPr>
            <w:tcW w:w="287" w:type="pct"/>
            <w:shd w:val="clear" w:color="auto" w:fill="auto"/>
            <w:vAlign w:val="center"/>
            <w:hideMark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1115" w:type="pct"/>
            <w:shd w:val="clear" w:color="auto" w:fill="auto"/>
            <w:vAlign w:val="center"/>
            <w:hideMark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Объем финансирования инвестиционного проекта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661227" w:rsidRPr="00661227" w:rsidTr="00661227">
        <w:tc>
          <w:tcPr>
            <w:tcW w:w="287" w:type="pct"/>
            <w:shd w:val="clear" w:color="auto" w:fill="auto"/>
            <w:hideMark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15" w:type="pct"/>
            <w:shd w:val="clear" w:color="auto" w:fill="auto"/>
            <w:hideMark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211" w:type="pct"/>
            <w:shd w:val="clear" w:color="auto" w:fill="auto"/>
            <w:hideMark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387" w:type="pct"/>
            <w:shd w:val="clear" w:color="auto" w:fill="auto"/>
            <w:hideMark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661227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661227" w:rsidRPr="00661227" w:rsidTr="00661227">
        <w:tc>
          <w:tcPr>
            <w:tcW w:w="287" w:type="pct"/>
            <w:shd w:val="clear" w:color="auto" w:fill="auto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1" w:type="pct"/>
            <w:shd w:val="clear" w:color="auto" w:fill="auto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7" w:type="pct"/>
            <w:shd w:val="clear" w:color="auto" w:fill="auto"/>
          </w:tcPr>
          <w:p w:rsidR="00661227" w:rsidRPr="00661227" w:rsidRDefault="00661227" w:rsidP="006612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661227" w:rsidRPr="00661227" w:rsidRDefault="00661227" w:rsidP="00661227">
      <w:pPr>
        <w:shd w:val="clear" w:color="auto" w:fill="FFFFFF"/>
        <w:jc w:val="both"/>
      </w:pPr>
    </w:p>
    <w:p w:rsidR="00661227" w:rsidRPr="00661227" w:rsidRDefault="00661227" w:rsidP="00661227">
      <w:pPr>
        <w:shd w:val="clear" w:color="auto" w:fill="FFFFFF"/>
        <w:jc w:val="right"/>
        <w:rPr>
          <w:sz w:val="26"/>
          <w:szCs w:val="26"/>
        </w:rPr>
      </w:pPr>
    </w:p>
    <w:p w:rsidR="00661227" w:rsidRPr="00661227" w:rsidRDefault="00661227" w:rsidP="00661227">
      <w:pPr>
        <w:shd w:val="clear" w:color="auto" w:fill="FFFFFF"/>
        <w:jc w:val="right"/>
        <w:rPr>
          <w:sz w:val="26"/>
          <w:szCs w:val="26"/>
        </w:rPr>
        <w:sectPr w:rsidR="00661227" w:rsidRPr="00661227" w:rsidSect="00661227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p w:rsidR="00552820" w:rsidRPr="00254C54" w:rsidRDefault="00552820" w:rsidP="00552820">
      <w:pPr>
        <w:jc w:val="right"/>
        <w:rPr>
          <w:sz w:val="26"/>
          <w:szCs w:val="26"/>
        </w:rPr>
      </w:pPr>
      <w:r w:rsidRPr="00254C54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6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0"/>
        <w:gridCol w:w="4837"/>
        <w:gridCol w:w="1583"/>
        <w:gridCol w:w="1131"/>
        <w:gridCol w:w="1121"/>
        <w:gridCol w:w="1121"/>
        <w:gridCol w:w="1112"/>
        <w:gridCol w:w="1115"/>
        <w:gridCol w:w="2481"/>
        <w:gridCol w:w="53"/>
      </w:tblGrid>
      <w:tr w:rsidR="00A90FB5" w:rsidRPr="000C5001" w:rsidTr="007A44F7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4628BF" w:rsidRDefault="00A90FB5" w:rsidP="007A44F7">
            <w:pPr>
              <w:jc w:val="center"/>
              <w:rPr>
                <w:color w:val="000000"/>
                <w:sz w:val="26"/>
                <w:szCs w:val="26"/>
              </w:rPr>
            </w:pPr>
            <w:r w:rsidRPr="004628BF">
              <w:rPr>
                <w:color w:val="000000"/>
                <w:sz w:val="26"/>
                <w:szCs w:val="26"/>
              </w:rPr>
              <w:t>Показатели, характеризующие эффективность структурного элемента (основного мероприятия) муниципальной программы</w:t>
            </w:r>
          </w:p>
        </w:tc>
      </w:tr>
      <w:tr w:rsidR="00A90FB5" w:rsidRPr="000C5001" w:rsidTr="007A44F7">
        <w:trPr>
          <w:gridAfter w:val="1"/>
          <w:wAfter w:w="18" w:type="pct"/>
        </w:trPr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</w:tr>
      <w:tr w:rsidR="00A90FB5" w:rsidRPr="000C5001" w:rsidTr="007A44F7">
        <w:trPr>
          <w:gridAfter w:val="1"/>
          <w:wAfter w:w="18" w:type="pct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№</w:t>
            </w:r>
            <w:r w:rsidRPr="000C5001">
              <w:rPr>
                <w:color w:val="000000"/>
              </w:rPr>
              <w:br/>
              <w:t>показателя</w:t>
            </w:r>
          </w:p>
        </w:tc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spacing w:after="240"/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 xml:space="preserve">Значение показателя на момент окончания действия муниципальной программы </w:t>
            </w:r>
          </w:p>
        </w:tc>
      </w:tr>
      <w:tr w:rsidR="00A90FB5" w:rsidRPr="000C5001" w:rsidTr="007A44F7">
        <w:trPr>
          <w:gridAfter w:val="1"/>
          <w:wAfter w:w="18" w:type="pct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B5" w:rsidRPr="000C5001" w:rsidRDefault="00A90FB5" w:rsidP="007A44F7">
            <w:pPr>
              <w:rPr>
                <w:color w:val="000000"/>
              </w:rPr>
            </w:pPr>
          </w:p>
        </w:tc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B5" w:rsidRPr="000C5001" w:rsidRDefault="00A90FB5" w:rsidP="007A44F7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B5" w:rsidRPr="000C5001" w:rsidRDefault="00A90FB5" w:rsidP="007A44F7">
            <w:pPr>
              <w:rPr>
                <w:color w:val="00000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2024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2026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2027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2028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B5" w:rsidRPr="000C5001" w:rsidRDefault="00A90FB5" w:rsidP="007A44F7">
            <w:pPr>
              <w:rPr>
                <w:color w:val="000000"/>
              </w:rPr>
            </w:pPr>
          </w:p>
        </w:tc>
      </w:tr>
      <w:tr w:rsidR="00A90FB5" w:rsidRPr="000C5001" w:rsidTr="007A44F7">
        <w:trPr>
          <w:gridAfter w:val="1"/>
          <w:wAfter w:w="18" w:type="pct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9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</w:t>
            </w:r>
          </w:p>
        </w:tc>
      </w:tr>
      <w:tr w:rsidR="00A90FB5" w:rsidRPr="000C5001" w:rsidTr="007A44F7">
        <w:trPr>
          <w:gridAfter w:val="1"/>
          <w:wAfter w:w="18" w:type="pct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both"/>
            </w:pPr>
            <w:r w:rsidRPr="000C5001">
              <w:t>Обеспечение электроэнергией на освещение дворов, улиц и магистралей города Когалыма, кВт*час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2263521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3289000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3289000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3289000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3289000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3289000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3289000</w:t>
            </w:r>
          </w:p>
        </w:tc>
      </w:tr>
      <w:tr w:rsidR="00A90FB5" w:rsidRPr="000C5001" w:rsidTr="007A44F7">
        <w:trPr>
          <w:gridAfter w:val="1"/>
          <w:wAfter w:w="18" w:type="pct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0FB5" w:rsidRPr="000C5001" w:rsidRDefault="00A90FB5" w:rsidP="007A44F7">
            <w:pPr>
              <w:jc w:val="both"/>
            </w:pPr>
            <w:r w:rsidRPr="000C5001">
              <w:t>Оказание услуг по погребению умерших,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</w:tr>
      <w:tr w:rsidR="00A90FB5" w:rsidRPr="000C5001" w:rsidTr="007A44F7">
        <w:trPr>
          <w:gridAfter w:val="1"/>
          <w:wAfter w:w="18" w:type="pct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3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both"/>
            </w:pPr>
            <w:r w:rsidRPr="000C5001">
              <w:t>Оказание услуг по перевозке умерших с места происшедшего летального исхода, %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</w:tr>
      <w:tr w:rsidR="00A90FB5" w:rsidRPr="000C5001" w:rsidTr="007A44F7">
        <w:trPr>
          <w:gridAfter w:val="1"/>
          <w:wAfter w:w="18" w:type="pct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4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both"/>
            </w:pPr>
            <w:r w:rsidRPr="000C5001">
              <w:t>Поддержание эксплуатационного и технического состояния детских игровых и спортивных площадок, %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</w:tr>
      <w:tr w:rsidR="00A90FB5" w:rsidRPr="000C5001" w:rsidTr="007A44F7">
        <w:trPr>
          <w:gridAfter w:val="1"/>
          <w:wAfter w:w="18" w:type="pct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5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both"/>
            </w:pPr>
            <w:r w:rsidRPr="000C5001">
              <w:t>Организация выполнения мероприятий по проведению дезинсекции и дератизации  в городе Когалыме, %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100</w:t>
            </w:r>
          </w:p>
        </w:tc>
      </w:tr>
      <w:tr w:rsidR="00A90FB5" w:rsidRPr="000C5001" w:rsidTr="007A44F7">
        <w:trPr>
          <w:gridAfter w:val="1"/>
          <w:wAfter w:w="18" w:type="pct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6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both"/>
            </w:pPr>
            <w:r w:rsidRPr="000C5001">
              <w:t>Выполнение работ по обустройству и ремонту пешеходных дорожек и тротуаров, кв.м.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2124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4007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438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438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438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438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5759</w:t>
            </w:r>
          </w:p>
        </w:tc>
      </w:tr>
      <w:tr w:rsidR="00A90FB5" w:rsidRPr="000C5001" w:rsidTr="007A44F7">
        <w:trPr>
          <w:gridAfter w:val="1"/>
          <w:wAfter w:w="18" w:type="pct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7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0FB5" w:rsidRPr="000C5001" w:rsidRDefault="00A90FB5" w:rsidP="007A44F7">
            <w:pPr>
              <w:jc w:val="both"/>
            </w:pPr>
            <w:r w:rsidRPr="000C5001">
              <w:t>Оказание услуг по отлову животных  без  владельцев на территории города Когалыма, голов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183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220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220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220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220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220</w:t>
            </w:r>
          </w:p>
        </w:tc>
      </w:tr>
    </w:tbl>
    <w:p w:rsidR="00A90FB5" w:rsidRDefault="00A90FB5" w:rsidP="00A90FB5">
      <w:pPr>
        <w:jc w:val="center"/>
        <w:sectPr w:rsidR="00A90FB5" w:rsidSect="007A44F7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3" w:type="pct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0"/>
        <w:gridCol w:w="4837"/>
        <w:gridCol w:w="1583"/>
        <w:gridCol w:w="1131"/>
        <w:gridCol w:w="1121"/>
        <w:gridCol w:w="1121"/>
        <w:gridCol w:w="53"/>
        <w:gridCol w:w="1058"/>
        <w:gridCol w:w="53"/>
        <w:gridCol w:w="1062"/>
        <w:gridCol w:w="50"/>
        <w:gridCol w:w="2431"/>
        <w:gridCol w:w="53"/>
      </w:tblGrid>
      <w:tr w:rsidR="00A90FB5" w:rsidRPr="000C5001" w:rsidTr="007A44F7">
        <w:trPr>
          <w:gridAfter w:val="1"/>
          <w:wAfter w:w="18" w:type="pct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8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r w:rsidRPr="000C5001">
              <w:t>Количество благоустроенных объектов территории города Когалыма (устройство, ремонт системы ливневой канализации), количество объектов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0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4</w:t>
            </w:r>
          </w:p>
        </w:tc>
      </w:tr>
      <w:tr w:rsidR="00A90FB5" w:rsidRPr="000C5001" w:rsidTr="007A44F7">
        <w:trPr>
          <w:gridAfter w:val="1"/>
          <w:wAfter w:w="18" w:type="pct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9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both"/>
            </w:pPr>
            <w:r w:rsidRPr="000C5001">
              <w:t>Архитектурная подсветка зданий и сооружений на территории города Когалыма, количество объектов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0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2</w:t>
            </w:r>
          </w:p>
        </w:tc>
      </w:tr>
      <w:tr w:rsidR="00A90FB5" w:rsidRPr="000C5001" w:rsidTr="007A44F7">
        <w:trPr>
          <w:gridAfter w:val="1"/>
          <w:wAfter w:w="18" w:type="pct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10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0FB5" w:rsidRPr="000C5001" w:rsidRDefault="00A90FB5" w:rsidP="007A44F7">
            <w:pPr>
              <w:jc w:val="both"/>
            </w:pPr>
            <w:r w:rsidRPr="000C5001">
              <w:t>Оказание услуг по содержанию животных  без  владельцев в приюте для животных города Когалыма, %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100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100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100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100</w:t>
            </w:r>
          </w:p>
        </w:tc>
      </w:tr>
      <w:tr w:rsidR="00A90FB5" w:rsidRPr="000C5001" w:rsidTr="007A44F7">
        <w:trPr>
          <w:gridAfter w:val="1"/>
          <w:wAfter w:w="18" w:type="pct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11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FB5" w:rsidRPr="000C5001" w:rsidRDefault="00A90FB5" w:rsidP="007A44F7">
            <w:pPr>
              <w:jc w:val="both"/>
            </w:pPr>
            <w:r w:rsidRPr="000C5001">
              <w:t>Снос зданий, строений, расположенных на территории города Когалыма, количество объектов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0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1</w:t>
            </w:r>
          </w:p>
        </w:tc>
      </w:tr>
      <w:tr w:rsidR="00A90FB5" w:rsidRPr="000C5001" w:rsidTr="007A44F7">
        <w:trPr>
          <w:gridAfter w:val="1"/>
          <w:wAfter w:w="18" w:type="pct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12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FB5" w:rsidRPr="000C5001" w:rsidRDefault="00A90FB5" w:rsidP="007A44F7">
            <w:pPr>
              <w:jc w:val="both"/>
            </w:pPr>
            <w:r w:rsidRPr="000C5001">
              <w:t>Покраска, отделка, ремонт и обследование зданий и сооружений, количество объектов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B5" w:rsidRPr="000C5001" w:rsidRDefault="00A90FB5" w:rsidP="007A44F7">
            <w:pPr>
              <w:jc w:val="center"/>
            </w:pPr>
            <w:r w:rsidRPr="000C5001"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00"/>
              </w:rPr>
            </w:pPr>
            <w:r w:rsidRPr="000C5001">
              <w:rPr>
                <w:color w:val="000000"/>
              </w:rPr>
              <w:t>0</w:t>
            </w:r>
          </w:p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FB5" w:rsidRPr="000C5001" w:rsidRDefault="00A90FB5" w:rsidP="007A44F7">
            <w:pPr>
              <w:jc w:val="center"/>
              <w:rPr>
                <w:color w:val="0000FF"/>
              </w:rPr>
            </w:pPr>
            <w:r w:rsidRPr="00597FD2">
              <w:rPr>
                <w:color w:val="000000" w:themeColor="text1"/>
              </w:rPr>
              <w:t>3</w:t>
            </w:r>
          </w:p>
        </w:tc>
      </w:tr>
      <w:tr w:rsidR="00A90FB5" w:rsidRPr="000C5001" w:rsidTr="007A44F7">
        <w:tc>
          <w:tcPr>
            <w:tcW w:w="350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FB5" w:rsidRPr="000C5001" w:rsidRDefault="00A90FB5" w:rsidP="007A44F7">
            <w:pPr>
              <w:rPr>
                <w:color w:val="000000"/>
              </w:rPr>
            </w:pPr>
            <w:r w:rsidRPr="000C5001">
              <w:rPr>
                <w:color w:val="000000"/>
              </w:rPr>
              <w:t>&lt;1&gt; Производится на основании классификации основных средств с учетом ежемесячных амортизационных отчислений;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>
            <w:pPr>
              <w:rPr>
                <w:color w:val="000000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</w:tr>
      <w:tr w:rsidR="00A90FB5" w:rsidRPr="000C5001" w:rsidTr="007A44F7">
        <w:trPr>
          <w:gridAfter w:val="1"/>
          <w:wAfter w:w="18" w:type="pct"/>
        </w:trPr>
        <w:tc>
          <w:tcPr>
            <w:tcW w:w="27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FB5" w:rsidRPr="000C5001" w:rsidRDefault="00A90FB5" w:rsidP="007A44F7">
            <w:pPr>
              <w:rPr>
                <w:color w:val="000000"/>
              </w:rPr>
            </w:pPr>
            <w:r w:rsidRPr="000C5001">
              <w:rPr>
                <w:color w:val="000000"/>
              </w:rPr>
              <w:t>&lt;2&gt;, &lt;3&gt;, &lt;4&gt;, &lt;5&gt;, &lt;6&gt;, &lt;7&gt;, &lt;8&gt;, &lt;9&gt;, &lt;11&gt;, &lt;12&gt; Показатель имеет фактический объем.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>
            <w:pPr>
              <w:rPr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</w:tr>
      <w:tr w:rsidR="00A90FB5" w:rsidRPr="000C5001" w:rsidTr="007A44F7">
        <w:trPr>
          <w:gridAfter w:val="1"/>
          <w:wAfter w:w="18" w:type="pct"/>
        </w:trPr>
        <w:tc>
          <w:tcPr>
            <w:tcW w:w="1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FB5" w:rsidRPr="000C5001" w:rsidRDefault="00A90FB5" w:rsidP="007A44F7">
            <w:pPr>
              <w:rPr>
                <w:color w:val="000000"/>
              </w:rPr>
            </w:pPr>
            <w:r w:rsidRPr="000C5001">
              <w:rPr>
                <w:color w:val="000000"/>
              </w:rPr>
              <w:t>&lt;10&gt; К = Кп / Кот x 100, где: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>
            <w:pPr>
              <w:rPr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</w:tr>
      <w:tr w:rsidR="00A90FB5" w:rsidRPr="000C5001" w:rsidTr="007A44F7">
        <w:trPr>
          <w:gridAfter w:val="1"/>
          <w:wAfter w:w="18" w:type="pct"/>
        </w:trPr>
        <w:tc>
          <w:tcPr>
            <w:tcW w:w="27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>
            <w:pPr>
              <w:rPr>
                <w:color w:val="000000"/>
              </w:rPr>
            </w:pPr>
            <w:r w:rsidRPr="000C5001">
              <w:rPr>
                <w:color w:val="000000"/>
              </w:rPr>
              <w:t>Кп - количество животных без владельцев, содержащихся в приюте для животных города Когалыма;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>
            <w:pPr>
              <w:rPr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0C5001" w:rsidRDefault="00A90FB5" w:rsidP="007A44F7"/>
        </w:tc>
      </w:tr>
      <w:tr w:rsidR="00A90FB5" w:rsidRPr="00333BAC" w:rsidTr="007A44F7">
        <w:trPr>
          <w:gridAfter w:val="1"/>
          <w:wAfter w:w="18" w:type="pct"/>
        </w:trPr>
        <w:tc>
          <w:tcPr>
            <w:tcW w:w="27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333BAC" w:rsidRDefault="00A90FB5" w:rsidP="007A44F7">
            <w:pPr>
              <w:rPr>
                <w:color w:val="000000"/>
              </w:rPr>
            </w:pPr>
            <w:r w:rsidRPr="000C5001">
              <w:rPr>
                <w:color w:val="000000"/>
              </w:rPr>
              <w:t>Кот - количество отловленных животных без владельцев на территории города Когалыма.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333BAC" w:rsidRDefault="00A90FB5" w:rsidP="007A44F7">
            <w:pPr>
              <w:rPr>
                <w:color w:val="00000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333BAC" w:rsidRDefault="00A90FB5" w:rsidP="007A44F7"/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333BAC" w:rsidRDefault="00A90FB5" w:rsidP="007A44F7"/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333BAC" w:rsidRDefault="00A90FB5" w:rsidP="007A44F7"/>
        </w:tc>
        <w:tc>
          <w:tcPr>
            <w:tcW w:w="7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FB5" w:rsidRPr="00333BAC" w:rsidRDefault="00A90FB5" w:rsidP="007A44F7"/>
        </w:tc>
      </w:tr>
    </w:tbl>
    <w:p w:rsidR="00661227" w:rsidRPr="00661227" w:rsidRDefault="00661227" w:rsidP="00661227">
      <w:pPr>
        <w:shd w:val="clear" w:color="auto" w:fill="FFFFFF"/>
        <w:jc w:val="right"/>
        <w:rPr>
          <w:sz w:val="26"/>
          <w:szCs w:val="26"/>
        </w:rPr>
      </w:pPr>
    </w:p>
    <w:sectPr w:rsidR="00661227" w:rsidRPr="00661227" w:rsidSect="00DC111C">
      <w:pgSz w:w="16838" w:h="11906" w:orient="landscape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F7" w:rsidRDefault="007A44F7" w:rsidP="000649C8">
      <w:r>
        <w:separator/>
      </w:r>
    </w:p>
  </w:endnote>
  <w:endnote w:type="continuationSeparator" w:id="0">
    <w:p w:rsidR="007A44F7" w:rsidRDefault="007A44F7" w:rsidP="0006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F7" w:rsidRDefault="007A44F7" w:rsidP="000649C8">
      <w:r>
        <w:separator/>
      </w:r>
    </w:p>
  </w:footnote>
  <w:footnote w:type="continuationSeparator" w:id="0">
    <w:p w:rsidR="007A44F7" w:rsidRDefault="007A44F7" w:rsidP="0006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524023"/>
      <w:docPartObj>
        <w:docPartGallery w:val="Page Numbers (Top of Page)"/>
        <w:docPartUnique/>
      </w:docPartObj>
    </w:sdtPr>
    <w:sdtEndPr/>
    <w:sdtContent>
      <w:p w:rsidR="007A44F7" w:rsidRDefault="007A44F7" w:rsidP="0066122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E9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2C3"/>
    <w:multiLevelType w:val="multilevel"/>
    <w:tmpl w:val="30F802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B1567"/>
    <w:multiLevelType w:val="hybridMultilevel"/>
    <w:tmpl w:val="BE266F0A"/>
    <w:lvl w:ilvl="0" w:tplc="3E9E9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F7668F"/>
    <w:multiLevelType w:val="hybridMultilevel"/>
    <w:tmpl w:val="AE8CC64A"/>
    <w:lvl w:ilvl="0" w:tplc="1F9C1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285714F"/>
    <w:multiLevelType w:val="hybridMultilevel"/>
    <w:tmpl w:val="5AE2116E"/>
    <w:lvl w:ilvl="0" w:tplc="354E4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2B08CF"/>
    <w:multiLevelType w:val="hybridMultilevel"/>
    <w:tmpl w:val="DC983C7E"/>
    <w:lvl w:ilvl="0" w:tplc="630C3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1CB3DA7"/>
    <w:multiLevelType w:val="hybridMultilevel"/>
    <w:tmpl w:val="FA94C008"/>
    <w:lvl w:ilvl="0" w:tplc="17BCF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06561"/>
    <w:multiLevelType w:val="hybridMultilevel"/>
    <w:tmpl w:val="E132DEA0"/>
    <w:lvl w:ilvl="0" w:tplc="79B0E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9"/>
  </w:num>
  <w:num w:numId="5">
    <w:abstractNumId w:val="13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1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8"/>
  </w:num>
  <w:num w:numId="15">
    <w:abstractNumId w:val="20"/>
  </w:num>
  <w:num w:numId="16">
    <w:abstractNumId w:val="14"/>
  </w:num>
  <w:num w:numId="17">
    <w:abstractNumId w:val="5"/>
  </w:num>
  <w:num w:numId="18">
    <w:abstractNumId w:val="1"/>
  </w:num>
  <w:num w:numId="19">
    <w:abstractNumId w:val="7"/>
  </w:num>
  <w:num w:numId="20">
    <w:abstractNumId w:val="18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ABC"/>
    <w:rsid w:val="00056CA6"/>
    <w:rsid w:val="00062979"/>
    <w:rsid w:val="000649C8"/>
    <w:rsid w:val="00076D59"/>
    <w:rsid w:val="000A69A8"/>
    <w:rsid w:val="000D7596"/>
    <w:rsid w:val="000F0569"/>
    <w:rsid w:val="000F3DA4"/>
    <w:rsid w:val="00104BD6"/>
    <w:rsid w:val="00122FA1"/>
    <w:rsid w:val="00132945"/>
    <w:rsid w:val="00141F0C"/>
    <w:rsid w:val="00142417"/>
    <w:rsid w:val="00147A03"/>
    <w:rsid w:val="00152797"/>
    <w:rsid w:val="0018464C"/>
    <w:rsid w:val="00197F72"/>
    <w:rsid w:val="001B31D3"/>
    <w:rsid w:val="001D0927"/>
    <w:rsid w:val="001D2DAF"/>
    <w:rsid w:val="001E328E"/>
    <w:rsid w:val="00201088"/>
    <w:rsid w:val="00227B36"/>
    <w:rsid w:val="002346FF"/>
    <w:rsid w:val="00234EB1"/>
    <w:rsid w:val="00254C54"/>
    <w:rsid w:val="00256DF6"/>
    <w:rsid w:val="00286591"/>
    <w:rsid w:val="002A765E"/>
    <w:rsid w:val="002B10AF"/>
    <w:rsid w:val="002B49A0"/>
    <w:rsid w:val="002C2E9B"/>
    <w:rsid w:val="002D4C83"/>
    <w:rsid w:val="002D5593"/>
    <w:rsid w:val="002E0A30"/>
    <w:rsid w:val="002E154E"/>
    <w:rsid w:val="002F7936"/>
    <w:rsid w:val="003010AF"/>
    <w:rsid w:val="00313DAF"/>
    <w:rsid w:val="00333B0C"/>
    <w:rsid w:val="00342E04"/>
    <w:rsid w:val="003447F7"/>
    <w:rsid w:val="00363C03"/>
    <w:rsid w:val="003772D6"/>
    <w:rsid w:val="0038709A"/>
    <w:rsid w:val="003A604C"/>
    <w:rsid w:val="003F09D9"/>
    <w:rsid w:val="003F587E"/>
    <w:rsid w:val="0043438A"/>
    <w:rsid w:val="00461F21"/>
    <w:rsid w:val="00483C89"/>
    <w:rsid w:val="00490FDA"/>
    <w:rsid w:val="004B23D1"/>
    <w:rsid w:val="004C08D3"/>
    <w:rsid w:val="004C4115"/>
    <w:rsid w:val="004D14E3"/>
    <w:rsid w:val="004D1F07"/>
    <w:rsid w:val="004D323C"/>
    <w:rsid w:val="004D36F0"/>
    <w:rsid w:val="004F33B1"/>
    <w:rsid w:val="004F626B"/>
    <w:rsid w:val="005241F6"/>
    <w:rsid w:val="00525E8E"/>
    <w:rsid w:val="005278F2"/>
    <w:rsid w:val="0053715D"/>
    <w:rsid w:val="00544DB2"/>
    <w:rsid w:val="00552820"/>
    <w:rsid w:val="005605A0"/>
    <w:rsid w:val="005A04E6"/>
    <w:rsid w:val="005E406E"/>
    <w:rsid w:val="006015ED"/>
    <w:rsid w:val="00602FA2"/>
    <w:rsid w:val="00605BC5"/>
    <w:rsid w:val="00610678"/>
    <w:rsid w:val="00622D41"/>
    <w:rsid w:val="0062579D"/>
    <w:rsid w:val="00625AA2"/>
    <w:rsid w:val="00626C61"/>
    <w:rsid w:val="00646CA3"/>
    <w:rsid w:val="00661227"/>
    <w:rsid w:val="00690EBD"/>
    <w:rsid w:val="006B03C7"/>
    <w:rsid w:val="006B2650"/>
    <w:rsid w:val="006B737E"/>
    <w:rsid w:val="006C1D7B"/>
    <w:rsid w:val="0071783C"/>
    <w:rsid w:val="007354D5"/>
    <w:rsid w:val="007412ED"/>
    <w:rsid w:val="007434A3"/>
    <w:rsid w:val="00747B75"/>
    <w:rsid w:val="007714FD"/>
    <w:rsid w:val="00795A34"/>
    <w:rsid w:val="007A44F7"/>
    <w:rsid w:val="007C24AA"/>
    <w:rsid w:val="007D1C62"/>
    <w:rsid w:val="007E28C2"/>
    <w:rsid w:val="007E5E3C"/>
    <w:rsid w:val="007F110E"/>
    <w:rsid w:val="007F4BBC"/>
    <w:rsid w:val="007F5689"/>
    <w:rsid w:val="00811229"/>
    <w:rsid w:val="008141E6"/>
    <w:rsid w:val="00820045"/>
    <w:rsid w:val="0082039F"/>
    <w:rsid w:val="0082067A"/>
    <w:rsid w:val="00823848"/>
    <w:rsid w:val="008329FC"/>
    <w:rsid w:val="008405FD"/>
    <w:rsid w:val="00851EDB"/>
    <w:rsid w:val="008654FF"/>
    <w:rsid w:val="0086685A"/>
    <w:rsid w:val="00874F39"/>
    <w:rsid w:val="008756DD"/>
    <w:rsid w:val="00876318"/>
    <w:rsid w:val="00877CE5"/>
    <w:rsid w:val="00886442"/>
    <w:rsid w:val="008C0700"/>
    <w:rsid w:val="008C0B7C"/>
    <w:rsid w:val="008D2DB3"/>
    <w:rsid w:val="008E3160"/>
    <w:rsid w:val="008F646F"/>
    <w:rsid w:val="00903327"/>
    <w:rsid w:val="00906603"/>
    <w:rsid w:val="00912C7C"/>
    <w:rsid w:val="00927B8B"/>
    <w:rsid w:val="00952EC3"/>
    <w:rsid w:val="0095772B"/>
    <w:rsid w:val="00962B29"/>
    <w:rsid w:val="00A210CB"/>
    <w:rsid w:val="00A26110"/>
    <w:rsid w:val="00A43D58"/>
    <w:rsid w:val="00A54B18"/>
    <w:rsid w:val="00A564E7"/>
    <w:rsid w:val="00A87E28"/>
    <w:rsid w:val="00A90FB5"/>
    <w:rsid w:val="00A9573F"/>
    <w:rsid w:val="00AA57AD"/>
    <w:rsid w:val="00AB2F35"/>
    <w:rsid w:val="00AB322D"/>
    <w:rsid w:val="00AB5FD4"/>
    <w:rsid w:val="00AE093A"/>
    <w:rsid w:val="00AE1036"/>
    <w:rsid w:val="00AF5544"/>
    <w:rsid w:val="00B22C7D"/>
    <w:rsid w:val="00B22DDA"/>
    <w:rsid w:val="00B56968"/>
    <w:rsid w:val="00B95041"/>
    <w:rsid w:val="00BA0EC8"/>
    <w:rsid w:val="00BA7756"/>
    <w:rsid w:val="00BB1866"/>
    <w:rsid w:val="00BC37E6"/>
    <w:rsid w:val="00BC7712"/>
    <w:rsid w:val="00BE03F0"/>
    <w:rsid w:val="00BE4E08"/>
    <w:rsid w:val="00BF32AF"/>
    <w:rsid w:val="00BF5965"/>
    <w:rsid w:val="00C1783E"/>
    <w:rsid w:val="00C27247"/>
    <w:rsid w:val="00C52ECF"/>
    <w:rsid w:val="00C700C4"/>
    <w:rsid w:val="00C73A18"/>
    <w:rsid w:val="00CB2627"/>
    <w:rsid w:val="00CC367F"/>
    <w:rsid w:val="00CC6CA8"/>
    <w:rsid w:val="00CD5376"/>
    <w:rsid w:val="00CE0692"/>
    <w:rsid w:val="00CE4E26"/>
    <w:rsid w:val="00CE5675"/>
    <w:rsid w:val="00CF32C2"/>
    <w:rsid w:val="00CF6B89"/>
    <w:rsid w:val="00D03E92"/>
    <w:rsid w:val="00D32F71"/>
    <w:rsid w:val="00D42964"/>
    <w:rsid w:val="00D52DB6"/>
    <w:rsid w:val="00D877B5"/>
    <w:rsid w:val="00D926D8"/>
    <w:rsid w:val="00DA52F9"/>
    <w:rsid w:val="00DA6DF3"/>
    <w:rsid w:val="00DC111C"/>
    <w:rsid w:val="00DD5531"/>
    <w:rsid w:val="00DE3EA6"/>
    <w:rsid w:val="00E40A40"/>
    <w:rsid w:val="00E611D3"/>
    <w:rsid w:val="00E9576F"/>
    <w:rsid w:val="00EB46A7"/>
    <w:rsid w:val="00EB75CB"/>
    <w:rsid w:val="00EC4CE3"/>
    <w:rsid w:val="00ED389F"/>
    <w:rsid w:val="00ED5C7C"/>
    <w:rsid w:val="00ED62A2"/>
    <w:rsid w:val="00EE539C"/>
    <w:rsid w:val="00F06198"/>
    <w:rsid w:val="00F24EF2"/>
    <w:rsid w:val="00F5080D"/>
    <w:rsid w:val="00FB5937"/>
    <w:rsid w:val="00FC42D0"/>
    <w:rsid w:val="00FC5BC1"/>
    <w:rsid w:val="00FC6221"/>
    <w:rsid w:val="00FD075F"/>
    <w:rsid w:val="00FD14FD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0279"/>
  <w15:docId w15:val="{7E9DE2EF-3E0F-410B-BED1-F8BABBE1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2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612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Знак Знак"/>
    <w:basedOn w:val="a"/>
    <w:link w:val="a4"/>
    <w:uiPriority w:val="99"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Title">
    <w:name w:val="ConsPlusTitle"/>
    <w:uiPriority w:val="99"/>
    <w:rsid w:val="00820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2067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2067A"/>
    <w:rPr>
      <w:color w:val="800080"/>
      <w:u w:val="single"/>
    </w:rPr>
  </w:style>
  <w:style w:type="paragraph" w:customStyle="1" w:styleId="xl65">
    <w:name w:val="xl65"/>
    <w:basedOn w:val="a"/>
    <w:rsid w:val="0082067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8206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2067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206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2067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8206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2067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206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206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206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8206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206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8206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206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2067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8206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82067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8206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82067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206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8206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8206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2067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649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4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649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4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D1F0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D1F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4D1F0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D1F07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4D1F0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D1F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D1F0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D1F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D1F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D1F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D1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D1F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D1F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D1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fontstyle01">
    <w:name w:val="fontstyle01"/>
    <w:basedOn w:val="a0"/>
    <w:rsid w:val="001B31D3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paragraph" w:customStyle="1" w:styleId="msonormal0">
    <w:name w:val="msonormal"/>
    <w:basedOn w:val="a"/>
    <w:rsid w:val="007F110E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A87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61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12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caption"/>
    <w:basedOn w:val="a"/>
    <w:next w:val="a"/>
    <w:qFormat/>
    <w:rsid w:val="00661227"/>
    <w:rPr>
      <w:b/>
      <w:bCs/>
      <w:lang w:eastAsia="en-US"/>
    </w:rPr>
  </w:style>
  <w:style w:type="paragraph" w:customStyle="1" w:styleId="ConsCell">
    <w:name w:val="ConsCell"/>
    <w:uiPriority w:val="99"/>
    <w:rsid w:val="00661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661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612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6122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612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6122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661227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6122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612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66122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6612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661227"/>
    <w:pPr>
      <w:spacing w:after="120" w:line="480" w:lineRule="auto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61227"/>
    <w:rPr>
      <w:rFonts w:ascii="Calibri" w:eastAsia="Calibri" w:hAnsi="Calibri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61227"/>
  </w:style>
  <w:style w:type="paragraph" w:styleId="af0">
    <w:name w:val="Normal (Web)"/>
    <w:basedOn w:val="a"/>
    <w:uiPriority w:val="99"/>
    <w:unhideWhenUsed/>
    <w:rsid w:val="006612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61227"/>
  </w:style>
  <w:style w:type="paragraph" w:customStyle="1" w:styleId="ConsPlusCell">
    <w:name w:val="ConsPlusCell"/>
    <w:uiPriority w:val="99"/>
    <w:rsid w:val="0066122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61227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66122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6122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66122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61227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6122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6122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61227"/>
    <w:rPr>
      <w:b/>
      <w:bCs/>
      <w:sz w:val="20"/>
      <w:szCs w:val="20"/>
    </w:rPr>
  </w:style>
  <w:style w:type="paragraph" w:customStyle="1" w:styleId="ConsPlusNormal">
    <w:name w:val="ConsPlusNormal"/>
    <w:rsid w:val="00661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661227"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61227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661227"/>
    <w:rPr>
      <w:vertAlign w:val="superscript"/>
    </w:rPr>
  </w:style>
  <w:style w:type="table" w:customStyle="1" w:styleId="110">
    <w:name w:val="Сетка таблицы11"/>
    <w:basedOn w:val="a1"/>
    <w:next w:val="a5"/>
    <w:uiPriority w:val="39"/>
    <w:rsid w:val="0066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Стиль"/>
    <w:uiPriority w:val="99"/>
    <w:rsid w:val="00A43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2111">
    <w:name w:val="Сетка таблицы182111"/>
    <w:basedOn w:val="a1"/>
    <w:uiPriority w:val="39"/>
    <w:rsid w:val="00AA57AD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00FD-3621-4A4F-A3AB-8AB9B022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Деликанова Наталья Сабировна</dc:creator>
  <cp:lastModifiedBy>Ларионова Галина Владимировна</cp:lastModifiedBy>
  <cp:revision>2</cp:revision>
  <cp:lastPrinted>2022-03-28T12:38:00Z</cp:lastPrinted>
  <dcterms:created xsi:type="dcterms:W3CDTF">2024-11-05T04:15:00Z</dcterms:created>
  <dcterms:modified xsi:type="dcterms:W3CDTF">2024-11-05T04:15:00Z</dcterms:modified>
</cp:coreProperties>
</file>