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27" w:rsidRPr="00E4056B" w:rsidRDefault="00130727" w:rsidP="00130727">
      <w:pPr>
        <w:jc w:val="right"/>
        <w:rPr>
          <w:sz w:val="26"/>
          <w:szCs w:val="26"/>
        </w:rPr>
      </w:pPr>
      <w:r w:rsidRPr="00E4056B">
        <w:rPr>
          <w:sz w:val="26"/>
          <w:szCs w:val="26"/>
        </w:rPr>
        <w:t>ПРОЕКТ</w:t>
      </w:r>
    </w:p>
    <w:p w:rsidR="00130727" w:rsidRPr="00E4056B" w:rsidRDefault="00130727" w:rsidP="00130727">
      <w:pPr>
        <w:jc w:val="center"/>
        <w:rPr>
          <w:sz w:val="26"/>
          <w:szCs w:val="26"/>
        </w:rPr>
      </w:pPr>
    </w:p>
    <w:p w:rsidR="00130727" w:rsidRPr="00E4056B" w:rsidRDefault="00130727" w:rsidP="00130727">
      <w:pPr>
        <w:jc w:val="center"/>
        <w:rPr>
          <w:sz w:val="26"/>
          <w:szCs w:val="26"/>
        </w:rPr>
      </w:pPr>
    </w:p>
    <w:p w:rsidR="00130727" w:rsidRPr="00E4056B" w:rsidRDefault="00130727" w:rsidP="00130727">
      <w:pPr>
        <w:jc w:val="center"/>
        <w:rPr>
          <w:sz w:val="26"/>
          <w:szCs w:val="26"/>
        </w:rPr>
      </w:pPr>
    </w:p>
    <w:p w:rsidR="00130727" w:rsidRPr="00E4056B" w:rsidRDefault="00130727" w:rsidP="00130727">
      <w:pPr>
        <w:jc w:val="center"/>
        <w:rPr>
          <w:sz w:val="26"/>
          <w:szCs w:val="26"/>
        </w:rPr>
      </w:pPr>
      <w:r w:rsidRPr="00E4056B">
        <w:rPr>
          <w:sz w:val="26"/>
          <w:szCs w:val="26"/>
        </w:rPr>
        <w:t>ПОСТАНОВЛЕНИЕ</w:t>
      </w:r>
    </w:p>
    <w:p w:rsidR="00130727" w:rsidRPr="00E4056B" w:rsidRDefault="00130727" w:rsidP="00130727">
      <w:pPr>
        <w:jc w:val="both"/>
        <w:rPr>
          <w:sz w:val="26"/>
          <w:szCs w:val="26"/>
        </w:rPr>
      </w:pPr>
    </w:p>
    <w:p w:rsidR="00130727" w:rsidRPr="00E4056B" w:rsidRDefault="00130727" w:rsidP="00130727">
      <w:pPr>
        <w:tabs>
          <w:tab w:val="left" w:pos="709"/>
        </w:tabs>
        <w:jc w:val="both"/>
        <w:rPr>
          <w:sz w:val="26"/>
          <w:szCs w:val="26"/>
        </w:rPr>
      </w:pPr>
      <w:r w:rsidRPr="00E4056B">
        <w:rPr>
          <w:sz w:val="26"/>
          <w:szCs w:val="26"/>
        </w:rPr>
        <w:t>О внесении изменений в постановление</w:t>
      </w:r>
    </w:p>
    <w:p w:rsidR="00130727" w:rsidRPr="00E4056B" w:rsidRDefault="00130727" w:rsidP="00130727">
      <w:pPr>
        <w:tabs>
          <w:tab w:val="left" w:pos="0"/>
        </w:tabs>
        <w:jc w:val="both"/>
        <w:rPr>
          <w:sz w:val="26"/>
          <w:szCs w:val="26"/>
        </w:rPr>
      </w:pPr>
      <w:r w:rsidRPr="00E4056B">
        <w:rPr>
          <w:sz w:val="26"/>
          <w:szCs w:val="26"/>
        </w:rPr>
        <w:t>Администрации города Когалыма</w:t>
      </w:r>
    </w:p>
    <w:p w:rsidR="00130727" w:rsidRPr="00E4056B" w:rsidRDefault="00130727" w:rsidP="00130727">
      <w:pPr>
        <w:tabs>
          <w:tab w:val="left" w:pos="709"/>
        </w:tabs>
        <w:jc w:val="both"/>
        <w:rPr>
          <w:bCs/>
          <w:sz w:val="26"/>
          <w:szCs w:val="26"/>
        </w:rPr>
      </w:pPr>
      <w:r w:rsidRPr="00E4056B">
        <w:rPr>
          <w:sz w:val="26"/>
          <w:szCs w:val="26"/>
        </w:rPr>
        <w:t>от 17.07.2012 №1760</w:t>
      </w:r>
    </w:p>
    <w:p w:rsidR="00130727" w:rsidRPr="00E4056B" w:rsidRDefault="00130727" w:rsidP="00130727">
      <w:pPr>
        <w:tabs>
          <w:tab w:val="left" w:pos="4170"/>
        </w:tabs>
        <w:rPr>
          <w:sz w:val="26"/>
          <w:szCs w:val="26"/>
        </w:rPr>
      </w:pPr>
    </w:p>
    <w:p w:rsidR="00130727" w:rsidRPr="00E4056B" w:rsidRDefault="00130727" w:rsidP="00130727">
      <w:pPr>
        <w:autoSpaceDE w:val="0"/>
        <w:autoSpaceDN w:val="0"/>
        <w:adjustRightInd w:val="0"/>
        <w:ind w:firstLine="709"/>
        <w:jc w:val="both"/>
        <w:rPr>
          <w:sz w:val="26"/>
          <w:szCs w:val="26"/>
        </w:rPr>
      </w:pPr>
      <w:r w:rsidRPr="00E4056B">
        <w:rPr>
          <w:sz w:val="26"/>
          <w:szCs w:val="26"/>
        </w:rPr>
        <w:t xml:space="preserve">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hyperlink r:id="rId5" w:history="1">
        <w:r w:rsidRPr="00E4056B">
          <w:rPr>
            <w:rStyle w:val="a3"/>
            <w:color w:val="auto"/>
            <w:sz w:val="26"/>
            <w:szCs w:val="26"/>
            <w:u w:val="none"/>
          </w:rPr>
          <w:t>Уставом</w:t>
        </w:r>
      </w:hyperlink>
      <w:r w:rsidRPr="00E4056B">
        <w:rPr>
          <w:sz w:val="26"/>
          <w:szCs w:val="26"/>
        </w:rPr>
        <w:t xml:space="preserve"> города Когалыма, решением Думы города Когалыма от 09.02.2006 №206-ГД «Об утверждении структуры Администрации города Когалыма», положением об отделе муниципального контроля Администрации города Когалыма, утверждённым распоряжением Администрации города Когалыма от 16.06.2015 №109-р:</w:t>
      </w:r>
    </w:p>
    <w:p w:rsidR="00130727" w:rsidRPr="00E4056B" w:rsidRDefault="00130727" w:rsidP="00130727">
      <w:pPr>
        <w:autoSpaceDE w:val="0"/>
        <w:autoSpaceDN w:val="0"/>
        <w:adjustRightInd w:val="0"/>
        <w:ind w:firstLine="540"/>
        <w:jc w:val="both"/>
        <w:rPr>
          <w:sz w:val="26"/>
          <w:szCs w:val="26"/>
        </w:rPr>
      </w:pPr>
    </w:p>
    <w:p w:rsidR="00130727" w:rsidRPr="00E4056B" w:rsidRDefault="00130727" w:rsidP="00130727">
      <w:pPr>
        <w:pStyle w:val="a5"/>
        <w:numPr>
          <w:ilvl w:val="0"/>
          <w:numId w:val="1"/>
        </w:numPr>
        <w:autoSpaceDE w:val="0"/>
        <w:autoSpaceDN w:val="0"/>
        <w:adjustRightInd w:val="0"/>
        <w:ind w:left="0" w:firstLine="709"/>
        <w:jc w:val="both"/>
        <w:rPr>
          <w:sz w:val="26"/>
          <w:szCs w:val="26"/>
        </w:rPr>
      </w:pPr>
      <w:r w:rsidRPr="00E4056B">
        <w:rPr>
          <w:sz w:val="26"/>
          <w:szCs w:val="26"/>
        </w:rPr>
        <w:t xml:space="preserve">В </w:t>
      </w:r>
      <w:hyperlink r:id="rId6" w:history="1">
        <w:r w:rsidRPr="00E4056B">
          <w:rPr>
            <w:rStyle w:val="a3"/>
            <w:color w:val="auto"/>
            <w:sz w:val="26"/>
            <w:szCs w:val="26"/>
            <w:u w:val="none"/>
          </w:rPr>
          <w:t>постановление</w:t>
        </w:r>
      </w:hyperlink>
      <w:r w:rsidRPr="00E4056B">
        <w:rPr>
          <w:sz w:val="26"/>
          <w:szCs w:val="26"/>
        </w:rPr>
        <w:t xml:space="preserve"> Администрации города Когалыма от 17.07.2012 № 1760 «Об утверждении Административного регламента осуществления муниципального лесного контроля» (далее - постановление) внести следующие изменения:</w:t>
      </w:r>
    </w:p>
    <w:p w:rsidR="00130727" w:rsidRPr="00E4056B" w:rsidRDefault="00130727" w:rsidP="00130727">
      <w:pPr>
        <w:pStyle w:val="a5"/>
        <w:numPr>
          <w:ilvl w:val="1"/>
          <w:numId w:val="1"/>
        </w:numPr>
        <w:autoSpaceDE w:val="0"/>
        <w:autoSpaceDN w:val="0"/>
        <w:adjustRightInd w:val="0"/>
        <w:ind w:left="0" w:firstLine="709"/>
        <w:jc w:val="both"/>
        <w:rPr>
          <w:sz w:val="26"/>
          <w:szCs w:val="26"/>
        </w:rPr>
      </w:pPr>
      <w:r w:rsidRPr="00E4056B">
        <w:rPr>
          <w:sz w:val="26"/>
          <w:szCs w:val="26"/>
        </w:rPr>
        <w:t>Подпункт 8 пункта 1.5 раздела 1 приложения к постановлению изложить в следующей редакции:</w:t>
      </w:r>
    </w:p>
    <w:p w:rsidR="00130727" w:rsidRPr="00E4056B" w:rsidRDefault="00130727" w:rsidP="00130727">
      <w:pPr>
        <w:pStyle w:val="a5"/>
        <w:autoSpaceDE w:val="0"/>
        <w:autoSpaceDN w:val="0"/>
        <w:adjustRightInd w:val="0"/>
        <w:ind w:left="0" w:firstLine="709"/>
        <w:jc w:val="both"/>
        <w:rPr>
          <w:sz w:val="26"/>
          <w:szCs w:val="26"/>
        </w:rPr>
      </w:pPr>
      <w:r w:rsidRPr="00E4056B">
        <w:rPr>
          <w:sz w:val="26"/>
          <w:szCs w:val="26"/>
        </w:rPr>
        <w:t xml:space="preserve">«8) </w:t>
      </w:r>
      <w:r w:rsidRPr="00E4056B">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0727" w:rsidRPr="00E4056B" w:rsidRDefault="00130727" w:rsidP="00130727">
      <w:pPr>
        <w:pStyle w:val="a5"/>
        <w:numPr>
          <w:ilvl w:val="1"/>
          <w:numId w:val="1"/>
        </w:numPr>
        <w:autoSpaceDE w:val="0"/>
        <w:autoSpaceDN w:val="0"/>
        <w:adjustRightInd w:val="0"/>
        <w:ind w:left="0" w:firstLine="709"/>
        <w:jc w:val="both"/>
        <w:rPr>
          <w:sz w:val="26"/>
          <w:szCs w:val="26"/>
        </w:rPr>
      </w:pPr>
      <w:r w:rsidRPr="00E4056B">
        <w:rPr>
          <w:sz w:val="26"/>
          <w:szCs w:val="26"/>
        </w:rPr>
        <w:t>Пункт 1.7 раздела 1 приложения к постановлению дополнить подпунктом 5 следующего содержания:</w:t>
      </w:r>
    </w:p>
    <w:p w:rsidR="00130727" w:rsidRPr="00E4056B" w:rsidRDefault="00130727" w:rsidP="00130727">
      <w:pPr>
        <w:autoSpaceDE w:val="0"/>
        <w:autoSpaceDN w:val="0"/>
        <w:adjustRightInd w:val="0"/>
        <w:ind w:firstLine="709"/>
        <w:jc w:val="both"/>
        <w:rPr>
          <w:sz w:val="26"/>
          <w:szCs w:val="26"/>
        </w:rPr>
      </w:pPr>
      <w:r w:rsidRPr="00E4056B">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1.3. В подпункте 4 пункта 1.9 раздела 1 приложения к постановлению после слов «индивидуального предпринимателя» дополнить словами «(при наличии печати).».</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1.4. Пункт 1.15 раздела 1 приложения к постановлению дополнить вторым абзацем в следующей редакции: </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«При наличии согласия проверяемого лица на осуществление взаимодействия </w:t>
      </w:r>
      <w:r w:rsidRPr="00E4056B">
        <w:rPr>
          <w:sz w:val="26"/>
          <w:szCs w:val="26"/>
        </w:rPr>
        <w:lastRenderedPageBreak/>
        <w:t>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1.5. Пункт 1.16 раздела 1 приложения к постановлению изложить в следующей редакции:</w:t>
      </w:r>
    </w:p>
    <w:p w:rsidR="00130727" w:rsidRPr="00E4056B" w:rsidRDefault="00130727" w:rsidP="00130727">
      <w:pPr>
        <w:pStyle w:val="ConsPlusNormal"/>
        <w:ind w:firstLine="540"/>
        <w:jc w:val="both"/>
        <w:rPr>
          <w:rFonts w:ascii="Times New Roman" w:hAnsi="Times New Roman" w:cs="Times New Roman"/>
          <w:sz w:val="26"/>
          <w:szCs w:val="26"/>
        </w:rPr>
      </w:pPr>
      <w:r w:rsidRPr="00E4056B">
        <w:rPr>
          <w:rFonts w:ascii="Times New Roman" w:hAnsi="Times New Roman" w:cs="Times New Roman"/>
          <w:sz w:val="26"/>
          <w:szCs w:val="26"/>
        </w:rPr>
        <w:t>«1.16.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1.6. Пункт 1.20 раздела 1 приложения к постановлению изложить в следующей редакции:</w:t>
      </w:r>
    </w:p>
    <w:p w:rsidR="00130727" w:rsidRPr="00E4056B" w:rsidRDefault="00130727" w:rsidP="00130727">
      <w:pPr>
        <w:pStyle w:val="ConsPlusNormal"/>
        <w:ind w:firstLine="540"/>
        <w:jc w:val="both"/>
        <w:rPr>
          <w:rFonts w:ascii="Times New Roman" w:hAnsi="Times New Roman" w:cs="Times New Roman"/>
          <w:sz w:val="26"/>
          <w:szCs w:val="26"/>
        </w:rPr>
      </w:pPr>
      <w:r w:rsidRPr="00E4056B">
        <w:rPr>
          <w:rFonts w:ascii="Times New Roman" w:hAnsi="Times New Roman" w:cs="Times New Roman"/>
          <w:sz w:val="26"/>
          <w:szCs w:val="26"/>
        </w:rPr>
        <w:t xml:space="preserve"> «1.20.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E4056B">
          <w:rPr>
            <w:rFonts w:ascii="Times New Roman" w:hAnsi="Times New Roman" w:cs="Times New Roman"/>
            <w:sz w:val="26"/>
            <w:szCs w:val="26"/>
          </w:rPr>
          <w:t>Кодексом</w:t>
        </w:r>
      </w:hyperlink>
      <w:r w:rsidRPr="00E4056B">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0727" w:rsidRPr="00E4056B" w:rsidRDefault="00130727" w:rsidP="00130727">
      <w:pPr>
        <w:pStyle w:val="ConsPlusNormal"/>
        <w:ind w:firstLine="709"/>
        <w:jc w:val="both"/>
        <w:rPr>
          <w:rFonts w:ascii="Times New Roman" w:hAnsi="Times New Roman" w:cs="Times New Roman"/>
          <w:sz w:val="26"/>
          <w:szCs w:val="26"/>
        </w:rPr>
      </w:pPr>
      <w:r w:rsidRPr="00E4056B">
        <w:rPr>
          <w:rFonts w:ascii="Times New Roman" w:hAnsi="Times New Roman" w:cs="Times New Roman"/>
          <w:sz w:val="26"/>
          <w:szCs w:val="26"/>
        </w:rPr>
        <w:lastRenderedPageBreak/>
        <w:t xml:space="preserve">1.7. Пункт 1.21 раздела 1 приложения к постановлению дополнить вторым абзацем в следующей редакции: </w:t>
      </w:r>
    </w:p>
    <w:p w:rsidR="00130727" w:rsidRPr="00E4056B" w:rsidRDefault="00130727" w:rsidP="00130727">
      <w:pPr>
        <w:pStyle w:val="ConsPlusNormal"/>
        <w:ind w:firstLine="540"/>
        <w:jc w:val="both"/>
        <w:rPr>
          <w:rFonts w:ascii="Times New Roman" w:hAnsi="Times New Roman" w:cs="Times New Roman"/>
          <w:sz w:val="26"/>
          <w:szCs w:val="26"/>
        </w:rPr>
      </w:pPr>
      <w:r w:rsidRPr="00E4056B">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1.8. Пункт 3.3.3 раздела 3 приложения к постановлению изложить в следующей редакции:</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«3.3.3. В ежегодных планах проведения плановых проверок юридических лиц </w:t>
      </w:r>
      <w:r w:rsidRPr="00E4056B">
        <w:rPr>
          <w:rFonts w:eastAsiaTheme="minorHAnsi"/>
          <w:sz w:val="26"/>
          <w:szCs w:val="26"/>
          <w:lang w:eastAsia="en-US"/>
        </w:rPr>
        <w:t>(их филиалов, представительств, обособленных структурных подразделений) и</w:t>
      </w:r>
      <w:r w:rsidRPr="00E4056B">
        <w:rPr>
          <w:sz w:val="26"/>
          <w:szCs w:val="26"/>
        </w:rPr>
        <w:t xml:space="preserve"> индивидуальных предпринимателей указываются следующие сведения:</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 наименование юридических лиц </w:t>
      </w:r>
      <w:r w:rsidRPr="00E4056B">
        <w:rPr>
          <w:rFonts w:eastAsiaTheme="minorHAnsi"/>
          <w:sz w:val="26"/>
          <w:szCs w:val="26"/>
          <w:lang w:eastAsia="en-US"/>
        </w:rPr>
        <w:t>(их филиалов, представительств, обособленных структурных подразделений),</w:t>
      </w:r>
      <w:r w:rsidRPr="00E4056B">
        <w:rPr>
          <w:sz w:val="26"/>
          <w:szCs w:val="26"/>
        </w:rPr>
        <w:t xml:space="preserve"> фамилии, имена, отчества индивидуальных предпринимателей, деятельность которых подлежит плановым проверкам, </w:t>
      </w:r>
      <w:r w:rsidRPr="00E4056B">
        <w:rPr>
          <w:rFonts w:eastAsiaTheme="minorHAnsi"/>
          <w:sz w:val="26"/>
          <w:szCs w:val="26"/>
          <w:lang w:eastAsia="en-US"/>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E4056B">
        <w:rPr>
          <w:sz w:val="26"/>
          <w:szCs w:val="26"/>
        </w:rPr>
        <w:t>;</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цель и основание проведения каждой плановой проверки;</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 дата </w:t>
      </w:r>
      <w:r w:rsidRPr="00E4056B">
        <w:rPr>
          <w:rFonts w:eastAsiaTheme="minorHAnsi"/>
          <w:sz w:val="26"/>
          <w:szCs w:val="26"/>
          <w:lang w:eastAsia="en-US"/>
        </w:rPr>
        <w:t>начала</w:t>
      </w:r>
      <w:r w:rsidRPr="00E4056B">
        <w:rPr>
          <w:sz w:val="26"/>
          <w:szCs w:val="26"/>
        </w:rPr>
        <w:t xml:space="preserve"> и сроки проведения каждой плановой проверки;</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 наименование органа муниципального контроля, осуществляющего конкретную плановую проверку. При проведении плановой проверки </w:t>
      </w:r>
      <w:r w:rsidRPr="00E4056B">
        <w:rPr>
          <w:rFonts w:eastAsiaTheme="minorHAnsi"/>
          <w:sz w:val="26"/>
          <w:szCs w:val="26"/>
          <w:lang w:eastAsia="en-US"/>
        </w:rPr>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1.9. Пункт 3.3.17 раздела 3 приложения к постановлению дополнить вторым абзацем в следующей редакции: </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1.10. Пункт 3.4.18 раздела 3 приложения к постановлению дополнить вторым абзацем в следующей редакции: </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E4056B">
        <w:rPr>
          <w:sz w:val="26"/>
          <w:szCs w:val="26"/>
        </w:rPr>
        <w:lastRenderedPageBreak/>
        <w:t>указанного документа, считается полученным проверяемым лицом.».</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1.11. Пункт 3.5.6 раздела 3 приложения к постановлению после слов «электронных документов» дополнить словами «подписанных усиленной квалифицированной электронной подписью,».</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1.12. Пункт 3.5.14 раздела 3 приложения к постановлению дополнить вторым абзацем в следующей редакции: </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1.13. Пункт 3.6.11 раздела 3 приложения к постановлению дополнить вторым абзацем в следующей редакции: </w:t>
      </w:r>
    </w:p>
    <w:p w:rsidR="00130727" w:rsidRPr="00E4056B" w:rsidRDefault="00130727" w:rsidP="00130727">
      <w:pPr>
        <w:widowControl w:val="0"/>
        <w:autoSpaceDE w:val="0"/>
        <w:autoSpaceDN w:val="0"/>
        <w:adjustRightInd w:val="0"/>
        <w:ind w:firstLine="709"/>
        <w:jc w:val="both"/>
        <w:rPr>
          <w:sz w:val="26"/>
          <w:szCs w:val="26"/>
        </w:rPr>
      </w:pPr>
      <w:r w:rsidRPr="00E4056B">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30727" w:rsidRPr="00E4056B" w:rsidRDefault="00130727" w:rsidP="00130727">
      <w:pPr>
        <w:widowControl w:val="0"/>
        <w:autoSpaceDE w:val="0"/>
        <w:autoSpaceDN w:val="0"/>
        <w:adjustRightInd w:val="0"/>
        <w:ind w:firstLine="540"/>
        <w:jc w:val="both"/>
        <w:rPr>
          <w:sz w:val="26"/>
          <w:szCs w:val="26"/>
        </w:rPr>
      </w:pPr>
    </w:p>
    <w:p w:rsidR="00130727" w:rsidRPr="00E4056B" w:rsidRDefault="00130727" w:rsidP="00130727">
      <w:pPr>
        <w:autoSpaceDE w:val="0"/>
        <w:autoSpaceDN w:val="0"/>
        <w:adjustRightInd w:val="0"/>
        <w:ind w:firstLine="709"/>
        <w:jc w:val="both"/>
        <w:rPr>
          <w:sz w:val="26"/>
          <w:szCs w:val="26"/>
        </w:rPr>
      </w:pPr>
      <w:r w:rsidRPr="00E4056B">
        <w:rPr>
          <w:sz w:val="26"/>
          <w:szCs w:val="26"/>
        </w:rPr>
        <w:t>2. Отделу муниципального контроля Администрации города Когалыма (Т.Г.Медведевой)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30727" w:rsidRPr="00E4056B" w:rsidRDefault="00130727" w:rsidP="00130727">
      <w:pPr>
        <w:autoSpaceDE w:val="0"/>
        <w:autoSpaceDN w:val="0"/>
        <w:adjustRightInd w:val="0"/>
        <w:ind w:firstLine="540"/>
        <w:jc w:val="both"/>
        <w:rPr>
          <w:sz w:val="26"/>
          <w:szCs w:val="26"/>
        </w:rPr>
      </w:pPr>
    </w:p>
    <w:p w:rsidR="00130727" w:rsidRPr="00E4056B" w:rsidRDefault="00130727" w:rsidP="00130727">
      <w:pPr>
        <w:autoSpaceDE w:val="0"/>
        <w:autoSpaceDN w:val="0"/>
        <w:adjustRightInd w:val="0"/>
        <w:ind w:firstLine="709"/>
        <w:jc w:val="both"/>
        <w:rPr>
          <w:sz w:val="26"/>
          <w:szCs w:val="26"/>
        </w:rPr>
      </w:pPr>
      <w:r w:rsidRPr="00E4056B">
        <w:rPr>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сети «Интернет» (www.admkogalym.ru).</w:t>
      </w:r>
    </w:p>
    <w:p w:rsidR="00130727" w:rsidRPr="00E4056B" w:rsidRDefault="00130727" w:rsidP="00130727">
      <w:pPr>
        <w:autoSpaceDE w:val="0"/>
        <w:autoSpaceDN w:val="0"/>
        <w:adjustRightInd w:val="0"/>
        <w:ind w:firstLine="540"/>
        <w:jc w:val="both"/>
        <w:rPr>
          <w:sz w:val="26"/>
          <w:szCs w:val="26"/>
        </w:rPr>
      </w:pPr>
    </w:p>
    <w:p w:rsidR="00130727" w:rsidRPr="00E4056B" w:rsidRDefault="00130727" w:rsidP="00130727">
      <w:pPr>
        <w:autoSpaceDE w:val="0"/>
        <w:autoSpaceDN w:val="0"/>
        <w:adjustRightInd w:val="0"/>
        <w:ind w:firstLine="709"/>
        <w:jc w:val="both"/>
        <w:rPr>
          <w:sz w:val="26"/>
          <w:szCs w:val="26"/>
        </w:rPr>
      </w:pPr>
      <w:r w:rsidRPr="00E4056B">
        <w:rPr>
          <w:sz w:val="26"/>
          <w:szCs w:val="26"/>
        </w:rPr>
        <w:t>4. Контроль за выполнением постановления оставляю за собой.</w:t>
      </w:r>
    </w:p>
    <w:p w:rsidR="00130727" w:rsidRPr="00E4056B" w:rsidRDefault="00130727" w:rsidP="00130727">
      <w:pPr>
        <w:ind w:firstLine="720"/>
        <w:jc w:val="both"/>
        <w:rPr>
          <w:sz w:val="26"/>
          <w:szCs w:val="26"/>
        </w:rPr>
      </w:pPr>
    </w:p>
    <w:p w:rsidR="00130727" w:rsidRPr="00E4056B" w:rsidRDefault="00130727" w:rsidP="00130727">
      <w:pPr>
        <w:ind w:firstLine="720"/>
        <w:jc w:val="both"/>
        <w:rPr>
          <w:sz w:val="26"/>
          <w:szCs w:val="26"/>
        </w:rPr>
      </w:pPr>
    </w:p>
    <w:p w:rsidR="00130727" w:rsidRPr="00E4056B" w:rsidRDefault="00130727" w:rsidP="00130727">
      <w:pPr>
        <w:ind w:firstLine="720"/>
        <w:jc w:val="both"/>
        <w:rPr>
          <w:sz w:val="26"/>
          <w:szCs w:val="26"/>
        </w:rPr>
      </w:pPr>
    </w:p>
    <w:p w:rsidR="00130727" w:rsidRPr="00E4056B" w:rsidRDefault="00130727" w:rsidP="00130727">
      <w:pPr>
        <w:tabs>
          <w:tab w:val="left" w:pos="6300"/>
        </w:tabs>
        <w:ind w:firstLine="709"/>
        <w:jc w:val="both"/>
        <w:rPr>
          <w:sz w:val="26"/>
          <w:szCs w:val="26"/>
        </w:rPr>
      </w:pPr>
      <w:r w:rsidRPr="00E4056B">
        <w:rPr>
          <w:sz w:val="26"/>
          <w:szCs w:val="26"/>
        </w:rPr>
        <w:lastRenderedPageBreak/>
        <w:t>Глава города Когалыма</w:t>
      </w:r>
      <w:r w:rsidRPr="00E4056B">
        <w:rPr>
          <w:sz w:val="26"/>
          <w:szCs w:val="26"/>
        </w:rPr>
        <w:tab/>
      </w:r>
      <w:r w:rsidRPr="00E4056B">
        <w:rPr>
          <w:sz w:val="26"/>
          <w:szCs w:val="26"/>
        </w:rPr>
        <w:tab/>
        <w:t xml:space="preserve"> </w:t>
      </w:r>
      <w:r w:rsidRPr="00E4056B">
        <w:rPr>
          <w:sz w:val="26"/>
          <w:szCs w:val="26"/>
        </w:rPr>
        <w:tab/>
        <w:t>Н.Н.Пальчиков</w:t>
      </w: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p w:rsidR="00130727" w:rsidRPr="00E4056B" w:rsidRDefault="00130727" w:rsidP="00130727">
      <w:pPr>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559"/>
        <w:gridCol w:w="2693"/>
      </w:tblGrid>
      <w:tr w:rsidR="00130727" w:rsidRPr="00E4056B" w:rsidTr="000F465B">
        <w:tc>
          <w:tcPr>
            <w:tcW w:w="3256" w:type="dxa"/>
          </w:tcPr>
          <w:p w:rsidR="00130727" w:rsidRPr="00E4056B" w:rsidRDefault="00130727" w:rsidP="000F465B">
            <w:pPr>
              <w:jc w:val="both"/>
              <w:rPr>
                <w:sz w:val="20"/>
                <w:szCs w:val="20"/>
              </w:rPr>
            </w:pPr>
            <w:r w:rsidRPr="00E4056B">
              <w:rPr>
                <w:sz w:val="20"/>
                <w:szCs w:val="20"/>
              </w:rPr>
              <w:t>Согласовано:</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p>
        </w:tc>
      </w:tr>
      <w:tr w:rsidR="00130727" w:rsidRPr="00E4056B" w:rsidTr="000F465B">
        <w:tc>
          <w:tcPr>
            <w:tcW w:w="7508" w:type="dxa"/>
            <w:gridSpan w:val="3"/>
          </w:tcPr>
          <w:p w:rsidR="00130727" w:rsidRPr="00E4056B" w:rsidRDefault="00130727" w:rsidP="000F465B">
            <w:pPr>
              <w:jc w:val="both"/>
              <w:rPr>
                <w:sz w:val="20"/>
                <w:szCs w:val="20"/>
              </w:rPr>
            </w:pP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начальник ЮУ</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r w:rsidRPr="00E4056B">
              <w:rPr>
                <w:sz w:val="20"/>
                <w:szCs w:val="20"/>
              </w:rPr>
              <w:t>А.В.Косолапов</w:t>
            </w: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начальник ОО ЮУ</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r w:rsidRPr="00E4056B">
              <w:rPr>
                <w:sz w:val="20"/>
                <w:szCs w:val="20"/>
              </w:rPr>
              <w:t>Д.А.Дидур</w:t>
            </w: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зам. начальника УЭ</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r w:rsidRPr="00E4056B">
              <w:rPr>
                <w:sz w:val="20"/>
                <w:szCs w:val="20"/>
              </w:rPr>
              <w:t>Е.Г.Загорская</w:t>
            </w: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специалист-эксперт ОРАР УЭ</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r w:rsidRPr="00E4056B">
              <w:rPr>
                <w:sz w:val="20"/>
                <w:szCs w:val="20"/>
              </w:rPr>
              <w:t>М.Е.Крылова</w:t>
            </w:r>
          </w:p>
        </w:tc>
      </w:tr>
      <w:tr w:rsidR="00130727" w:rsidRPr="00E4056B" w:rsidTr="000F4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rsidR="00130727" w:rsidRPr="00E4056B" w:rsidRDefault="00130727" w:rsidP="000F465B">
            <w:pPr>
              <w:jc w:val="both"/>
              <w:rPr>
                <w:sz w:val="20"/>
                <w:szCs w:val="20"/>
              </w:rPr>
            </w:pPr>
            <w:r w:rsidRPr="00E4056B">
              <w:rPr>
                <w:sz w:val="20"/>
                <w:szCs w:val="20"/>
              </w:rPr>
              <w:t>начальник ОМК</w:t>
            </w:r>
          </w:p>
        </w:tc>
        <w:tc>
          <w:tcPr>
            <w:tcW w:w="1559" w:type="dxa"/>
            <w:tcBorders>
              <w:top w:val="nil"/>
              <w:left w:val="nil"/>
              <w:bottom w:val="nil"/>
              <w:right w:val="nil"/>
            </w:tcBorders>
          </w:tcPr>
          <w:p w:rsidR="00130727" w:rsidRPr="00E4056B" w:rsidRDefault="00130727" w:rsidP="000F465B">
            <w:pPr>
              <w:jc w:val="both"/>
              <w:rPr>
                <w:sz w:val="20"/>
                <w:szCs w:val="20"/>
              </w:rPr>
            </w:pPr>
          </w:p>
        </w:tc>
        <w:tc>
          <w:tcPr>
            <w:tcW w:w="2693" w:type="dxa"/>
            <w:tcBorders>
              <w:top w:val="nil"/>
              <w:left w:val="nil"/>
              <w:bottom w:val="nil"/>
              <w:right w:val="nil"/>
            </w:tcBorders>
          </w:tcPr>
          <w:p w:rsidR="00130727" w:rsidRPr="00E4056B" w:rsidRDefault="00130727" w:rsidP="000F465B">
            <w:pPr>
              <w:jc w:val="both"/>
              <w:rPr>
                <w:sz w:val="20"/>
                <w:szCs w:val="20"/>
              </w:rPr>
            </w:pPr>
            <w:r w:rsidRPr="00E4056B">
              <w:rPr>
                <w:sz w:val="20"/>
                <w:szCs w:val="20"/>
              </w:rPr>
              <w:t>Т.Г.Медведева</w:t>
            </w:r>
          </w:p>
        </w:tc>
      </w:tr>
      <w:tr w:rsidR="00130727" w:rsidRPr="00E4056B" w:rsidTr="000F465B">
        <w:tc>
          <w:tcPr>
            <w:tcW w:w="7508" w:type="dxa"/>
            <w:gridSpan w:val="3"/>
          </w:tcPr>
          <w:p w:rsidR="00130727" w:rsidRPr="00E4056B" w:rsidRDefault="00130727" w:rsidP="000F465B">
            <w:pPr>
              <w:jc w:val="both"/>
              <w:rPr>
                <w:sz w:val="20"/>
                <w:szCs w:val="20"/>
              </w:rPr>
            </w:pP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Подготовлено:</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p>
        </w:tc>
      </w:tr>
      <w:tr w:rsidR="00130727" w:rsidRPr="00E4056B" w:rsidTr="000F465B">
        <w:tc>
          <w:tcPr>
            <w:tcW w:w="3256" w:type="dxa"/>
          </w:tcPr>
          <w:p w:rsidR="00130727" w:rsidRPr="00E4056B" w:rsidRDefault="00130727" w:rsidP="000F465B">
            <w:pPr>
              <w:jc w:val="both"/>
              <w:rPr>
                <w:sz w:val="20"/>
                <w:szCs w:val="20"/>
              </w:rPr>
            </w:pPr>
            <w:r w:rsidRPr="00E4056B">
              <w:rPr>
                <w:sz w:val="20"/>
                <w:szCs w:val="20"/>
              </w:rPr>
              <w:t>специалист-эксперт ОМК</w:t>
            </w: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r w:rsidRPr="00E4056B">
              <w:rPr>
                <w:sz w:val="20"/>
                <w:szCs w:val="20"/>
              </w:rPr>
              <w:t>С.Е.Грязева</w:t>
            </w:r>
          </w:p>
        </w:tc>
      </w:tr>
      <w:tr w:rsidR="00130727" w:rsidRPr="00E4056B" w:rsidTr="000F465B">
        <w:tc>
          <w:tcPr>
            <w:tcW w:w="3256" w:type="dxa"/>
          </w:tcPr>
          <w:p w:rsidR="00130727" w:rsidRPr="00E4056B" w:rsidRDefault="00130727" w:rsidP="000F465B">
            <w:pPr>
              <w:jc w:val="both"/>
              <w:rPr>
                <w:sz w:val="20"/>
                <w:szCs w:val="20"/>
              </w:rPr>
            </w:pPr>
          </w:p>
        </w:tc>
        <w:tc>
          <w:tcPr>
            <w:tcW w:w="1559" w:type="dxa"/>
          </w:tcPr>
          <w:p w:rsidR="00130727" w:rsidRPr="00E4056B" w:rsidRDefault="00130727" w:rsidP="000F465B">
            <w:pPr>
              <w:jc w:val="both"/>
              <w:rPr>
                <w:sz w:val="20"/>
                <w:szCs w:val="20"/>
              </w:rPr>
            </w:pPr>
          </w:p>
        </w:tc>
        <w:tc>
          <w:tcPr>
            <w:tcW w:w="2693" w:type="dxa"/>
          </w:tcPr>
          <w:p w:rsidR="00130727" w:rsidRPr="00E4056B" w:rsidRDefault="00130727" w:rsidP="000F465B">
            <w:pPr>
              <w:jc w:val="both"/>
              <w:rPr>
                <w:sz w:val="20"/>
                <w:szCs w:val="20"/>
              </w:rPr>
            </w:pPr>
          </w:p>
        </w:tc>
      </w:tr>
      <w:tr w:rsidR="00130727" w:rsidRPr="00E4056B" w:rsidTr="000F465B">
        <w:tc>
          <w:tcPr>
            <w:tcW w:w="7508" w:type="dxa"/>
            <w:gridSpan w:val="3"/>
          </w:tcPr>
          <w:p w:rsidR="00130727" w:rsidRPr="00E4056B" w:rsidRDefault="00130727" w:rsidP="000F465B">
            <w:pPr>
              <w:jc w:val="both"/>
              <w:rPr>
                <w:sz w:val="20"/>
                <w:szCs w:val="20"/>
              </w:rPr>
            </w:pPr>
            <w:r w:rsidRPr="00E4056B">
              <w:rPr>
                <w:sz w:val="20"/>
                <w:szCs w:val="20"/>
              </w:rPr>
              <w:t xml:space="preserve">Разослать: УЭ, ЮУ, КУМИ, </w:t>
            </w:r>
            <w:proofErr w:type="spellStart"/>
            <w:r w:rsidRPr="00E4056B">
              <w:rPr>
                <w:sz w:val="20"/>
                <w:szCs w:val="20"/>
              </w:rPr>
              <w:t>УпоИР</w:t>
            </w:r>
            <w:proofErr w:type="spellEnd"/>
            <w:r w:rsidRPr="00E4056B">
              <w:rPr>
                <w:sz w:val="20"/>
                <w:szCs w:val="20"/>
              </w:rPr>
              <w:t>, газета, Ваш консультант, прокуратура.</w:t>
            </w:r>
          </w:p>
        </w:tc>
      </w:tr>
    </w:tbl>
    <w:p w:rsidR="00130727" w:rsidRPr="00E4056B" w:rsidRDefault="00130727" w:rsidP="00130727">
      <w:pPr>
        <w:tabs>
          <w:tab w:val="left" w:pos="3780"/>
        </w:tabs>
        <w:jc w:val="both"/>
        <w:rPr>
          <w:sz w:val="22"/>
          <w:szCs w:val="22"/>
        </w:rPr>
      </w:pPr>
    </w:p>
    <w:p w:rsidR="00130727" w:rsidRPr="00E4056B" w:rsidRDefault="00130727" w:rsidP="00130727"/>
    <w:p w:rsidR="00060E2E" w:rsidRDefault="00060E2E">
      <w:bookmarkStart w:id="0" w:name="_GoBack"/>
      <w:bookmarkEnd w:id="0"/>
    </w:p>
    <w:sectPr w:rsidR="00060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30643"/>
    <w:multiLevelType w:val="multilevel"/>
    <w:tmpl w:val="8E1C6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1D"/>
    <w:rsid w:val="00060E2E"/>
    <w:rsid w:val="00130727"/>
    <w:rsid w:val="00E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C917-9153-4A2A-801C-AC7A9786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0727"/>
    <w:rPr>
      <w:color w:val="0000FF"/>
      <w:u w:val="single"/>
    </w:rPr>
  </w:style>
  <w:style w:type="table" w:styleId="a4">
    <w:name w:val="Table Grid"/>
    <w:basedOn w:val="a1"/>
    <w:uiPriority w:val="39"/>
    <w:rsid w:val="0013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727"/>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13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8A5F682C8ED5F9ABADD06A2E007DB9D76FDB78A17AAEF74DB89B0D72866E2FA80F16A50C7D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227647898702487CC94C8978848355A636C8BD413D8912EF455E81E0AE3BB6I0WDE" TargetMode="External"/><Relationship Id="rId5" Type="http://schemas.openxmlformats.org/officeDocument/2006/relationships/hyperlink" Target="consultantplus://offline/ref=3477412346F632C3FDF68F1C2348024043E6F636E9945EDBAC85DC621D3E8FB29705R7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cp:revision>
  <dcterms:created xsi:type="dcterms:W3CDTF">2015-11-18T05:10:00Z</dcterms:created>
  <dcterms:modified xsi:type="dcterms:W3CDTF">2015-11-18T05:10:00Z</dcterms:modified>
</cp:coreProperties>
</file>