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19" w:rsidRDefault="00FD5D19" w:rsidP="00787895">
      <w:pPr>
        <w:pStyle w:val="a6"/>
        <w:jc w:val="center"/>
        <w:rPr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638776B7" wp14:editId="5EE245F6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D19" w:rsidRDefault="00FD5D19" w:rsidP="00787895">
      <w:pPr>
        <w:pStyle w:val="a6"/>
        <w:jc w:val="center"/>
        <w:rPr>
          <w:color w:val="3366FF"/>
          <w:sz w:val="32"/>
          <w:szCs w:val="32"/>
        </w:rPr>
      </w:pPr>
    </w:p>
    <w:p w:rsidR="00FD5D19" w:rsidRPr="00C425F8" w:rsidRDefault="00FD5D19" w:rsidP="00787895">
      <w:pPr>
        <w:pStyle w:val="a6"/>
        <w:jc w:val="center"/>
        <w:rPr>
          <w:color w:val="3366FF"/>
          <w:sz w:val="6"/>
          <w:szCs w:val="32"/>
        </w:rPr>
      </w:pPr>
    </w:p>
    <w:p w:rsidR="00FD5D19" w:rsidRPr="00ED3349" w:rsidRDefault="00FD5D19" w:rsidP="00787895">
      <w:pPr>
        <w:pStyle w:val="a6"/>
        <w:jc w:val="center"/>
        <w:rPr>
          <w:color w:val="3366FF"/>
          <w:sz w:val="12"/>
          <w:szCs w:val="32"/>
        </w:rPr>
      </w:pPr>
    </w:p>
    <w:p w:rsidR="00FD5D19" w:rsidRPr="00787895" w:rsidRDefault="00FD5D19" w:rsidP="00787895">
      <w:pPr>
        <w:pStyle w:val="a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87895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FD5D19" w:rsidRPr="00787895" w:rsidRDefault="00FD5D19" w:rsidP="00787895">
      <w:pPr>
        <w:pStyle w:val="a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87895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FD5D19" w:rsidRPr="00787895" w:rsidRDefault="00FD5D19" w:rsidP="00787895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7895">
        <w:rPr>
          <w:rFonts w:ascii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FD5D19" w:rsidRPr="00485E30" w:rsidRDefault="00FD5D19" w:rsidP="00787895">
      <w:pPr>
        <w:pStyle w:val="a6"/>
        <w:jc w:val="center"/>
        <w:rPr>
          <w:color w:val="000000"/>
          <w:sz w:val="2"/>
        </w:rPr>
      </w:pPr>
    </w:p>
    <w:p w:rsidR="00FD5D19" w:rsidRPr="00485E30" w:rsidRDefault="00FD5D19" w:rsidP="00787895">
      <w:pPr>
        <w:pStyle w:val="a6"/>
        <w:jc w:val="center"/>
        <w:rPr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2"/>
        <w:gridCol w:w="795"/>
        <w:gridCol w:w="241"/>
        <w:gridCol w:w="1820"/>
        <w:gridCol w:w="242"/>
        <w:gridCol w:w="833"/>
        <w:gridCol w:w="2347"/>
        <w:gridCol w:w="1400"/>
        <w:gridCol w:w="743"/>
      </w:tblGrid>
      <w:tr w:rsidR="00FD5D19" w:rsidRPr="00485E30" w:rsidTr="00787895">
        <w:trPr>
          <w:trHeight w:val="155"/>
        </w:trPr>
        <w:tc>
          <w:tcPr>
            <w:tcW w:w="327" w:type="pct"/>
            <w:vAlign w:val="center"/>
          </w:tcPr>
          <w:p w:rsidR="00FD5D19" w:rsidRPr="00787895" w:rsidRDefault="00FD5D19" w:rsidP="0078789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6"/>
                <w:lang w:val="en-US"/>
              </w:rPr>
            </w:pPr>
            <w:r w:rsidRPr="007878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FD5D19" w:rsidRPr="00485E30" w:rsidRDefault="00FD5D19" w:rsidP="00787895">
            <w:pPr>
              <w:pStyle w:val="a6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«03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138" w:type="pct"/>
            <w:vAlign w:val="center"/>
          </w:tcPr>
          <w:p w:rsidR="00FD5D19" w:rsidRPr="00485E30" w:rsidRDefault="00FD5D19" w:rsidP="00787895">
            <w:pPr>
              <w:pStyle w:val="a6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FD5D19" w:rsidRPr="00485E30" w:rsidRDefault="00FD5D19" w:rsidP="00787895">
            <w:pPr>
              <w:pStyle w:val="a6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марта</w:t>
            </w:r>
          </w:p>
        </w:tc>
        <w:tc>
          <w:tcPr>
            <w:tcW w:w="138" w:type="pct"/>
          </w:tcPr>
          <w:p w:rsidR="00FD5D19" w:rsidRPr="00485E30" w:rsidRDefault="00FD5D19" w:rsidP="00787895">
            <w:pPr>
              <w:pStyle w:val="a6"/>
              <w:jc w:val="center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FD5D19" w:rsidRPr="00485E30" w:rsidRDefault="00FD5D19" w:rsidP="00787895">
            <w:pPr>
              <w:pStyle w:val="a6"/>
              <w:jc w:val="center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201</w:t>
            </w:r>
            <w:r>
              <w:rPr>
                <w:rFonts w:ascii="Arial" w:hAnsi="Arial" w:cs="Arial"/>
                <w:color w:val="000000"/>
                <w:sz w:val="26"/>
              </w:rPr>
              <w:t>7</w:t>
            </w:r>
          </w:p>
        </w:tc>
        <w:tc>
          <w:tcPr>
            <w:tcW w:w="1307" w:type="pct"/>
          </w:tcPr>
          <w:p w:rsidR="00FD5D19" w:rsidRPr="00787895" w:rsidRDefault="00FD5D19" w:rsidP="00787895">
            <w:pPr>
              <w:pStyle w:val="a6"/>
              <w:rPr>
                <w:rFonts w:ascii="Times New Roman" w:hAnsi="Times New Roman" w:cs="Times New Roman"/>
                <w:color w:val="000000"/>
                <w:sz w:val="26"/>
              </w:rPr>
            </w:pPr>
            <w:proofErr w:type="gramStart"/>
            <w:r w:rsidRPr="00787895">
              <w:rPr>
                <w:rFonts w:ascii="Times New Roman" w:hAnsi="Times New Roman" w:cs="Times New Roman"/>
                <w:color w:val="000000"/>
                <w:sz w:val="26"/>
              </w:rPr>
              <w:t>г</w:t>
            </w:r>
            <w:proofErr w:type="gramEnd"/>
            <w:r w:rsidRPr="00787895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781" w:type="pct"/>
          </w:tcPr>
          <w:p w:rsidR="00FD5D19" w:rsidRPr="00787895" w:rsidRDefault="00FD5D19" w:rsidP="00787895">
            <w:pPr>
              <w:pStyle w:val="a6"/>
              <w:jc w:val="right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787895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FD5D19" w:rsidRPr="00485E30" w:rsidRDefault="00FD5D19" w:rsidP="00787895">
            <w:pPr>
              <w:pStyle w:val="a6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4</w:t>
            </w:r>
            <w:r w:rsidR="00787895">
              <w:rPr>
                <w:rFonts w:ascii="Arial" w:hAnsi="Arial" w:cs="Arial"/>
                <w:color w:val="000000"/>
                <w:sz w:val="26"/>
              </w:rPr>
              <w:t>36</w:t>
            </w:r>
          </w:p>
        </w:tc>
      </w:tr>
    </w:tbl>
    <w:p w:rsidR="00FD5D19" w:rsidRDefault="00FD5D19" w:rsidP="00787895">
      <w:pPr>
        <w:pStyle w:val="a6"/>
        <w:jc w:val="center"/>
      </w:pPr>
    </w:p>
    <w:p w:rsidR="007261CE" w:rsidRDefault="007261CE" w:rsidP="00C222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1CE" w:rsidRDefault="007261CE" w:rsidP="00C222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1CE" w:rsidRDefault="007261CE" w:rsidP="00C222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22EF" w:rsidRDefault="00C222EF" w:rsidP="00C222EF">
      <w:pPr>
        <w:spacing w:after="0" w:line="240" w:lineRule="auto"/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  <w:t>О внесении изменений</w:t>
      </w:r>
      <w:r w:rsidR="002F50E2"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  <w:t xml:space="preserve"> и дополнений</w:t>
      </w:r>
    </w:p>
    <w:p w:rsidR="00C222EF" w:rsidRDefault="00C222EF" w:rsidP="00C222EF">
      <w:pPr>
        <w:spacing w:after="0" w:line="240" w:lineRule="auto"/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  <w:t>в постановление Администрации</w:t>
      </w:r>
    </w:p>
    <w:p w:rsidR="00C222EF" w:rsidRDefault="00C222EF" w:rsidP="00C222EF">
      <w:pPr>
        <w:spacing w:after="0" w:line="240" w:lineRule="auto"/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  <w:t>города Когалыма</w:t>
      </w:r>
    </w:p>
    <w:p w:rsidR="00C222EF" w:rsidRDefault="00C222EF" w:rsidP="00C222EF">
      <w:pPr>
        <w:spacing w:after="0" w:line="240" w:lineRule="auto"/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  <w:t xml:space="preserve">от </w:t>
      </w:r>
      <w:r w:rsidR="002652A0">
        <w:rPr>
          <w:rFonts w:ascii="Times New Roman" w:hAnsi="Times New Roman" w:cs="Times New Roman"/>
          <w:sz w:val="26"/>
          <w:szCs w:val="26"/>
        </w:rPr>
        <w:t>17.07.2012 №1752</w:t>
      </w:r>
    </w:p>
    <w:p w:rsidR="00C222EF" w:rsidRPr="007261CE" w:rsidRDefault="00C222EF" w:rsidP="00C222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61CE" w:rsidRPr="007261CE" w:rsidRDefault="007261CE" w:rsidP="00C222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0B95" w:rsidRDefault="00C222EF" w:rsidP="00726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7261CE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7261CE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Федеральным</w:t>
      </w:r>
      <w:r w:rsidR="002F50E2" w:rsidRPr="007261CE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и</w:t>
      </w:r>
      <w:r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закон</w:t>
      </w:r>
      <w:r w:rsidR="002F50E2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ами</w:t>
      </w:r>
      <w:r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от 27.07.2010 №210-ФЗ «Об организации предоставления государственных и муниципальных услуг», </w:t>
      </w:r>
      <w:r w:rsidR="002F50E2" w:rsidRPr="002F50E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03.07.2016 №315-ФЗ «О внесении изменений в часть первую Гражданского кодекса Российской Федерации и отдельные законодательные акты Российской Федерации», от 03.07.2016 №361-ФЗ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</w:t>
      </w:r>
      <w:r w:rsidR="002F50E2" w:rsidRPr="002F50E2">
        <w:rPr>
          <w:rFonts w:ascii="Times New Roman" w:hAnsi="Times New Roman" w:cs="Times New Roman"/>
          <w:sz w:val="26"/>
          <w:szCs w:val="26"/>
        </w:rPr>
        <w:t>от 03.07.2016</w:t>
      </w:r>
      <w:proofErr w:type="gramEnd"/>
      <w:r w:rsidR="002F50E2" w:rsidRPr="002F50E2">
        <w:rPr>
          <w:rFonts w:ascii="Times New Roman" w:hAnsi="Times New Roman" w:cs="Times New Roman"/>
          <w:sz w:val="26"/>
          <w:szCs w:val="26"/>
        </w:rPr>
        <w:t xml:space="preserve"> №373-ФЗ «О </w:t>
      </w:r>
      <w:proofErr w:type="gramStart"/>
      <w:r w:rsidR="002F50E2" w:rsidRPr="002F50E2">
        <w:rPr>
          <w:rFonts w:ascii="Times New Roman" w:hAnsi="Times New Roman" w:cs="Times New Roman"/>
          <w:sz w:val="26"/>
          <w:szCs w:val="26"/>
        </w:rPr>
        <w:t>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утверждения документации по планировке территории и обеспечения комплексного развития территории и признании утратившими силу отдельных положений законодательных актов Российской Федерации»,</w:t>
      </w:r>
      <w:r w:rsidR="002F50E2" w:rsidRPr="002F50E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19.12.2016 </w:t>
      </w:r>
      <w:r w:rsidR="009555E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№445-ФЗ </w:t>
      </w:r>
      <w:r w:rsidR="002F50E2" w:rsidRPr="002F50E2">
        <w:rPr>
          <w:rFonts w:ascii="Times New Roman" w:eastAsiaTheme="minorHAnsi" w:hAnsi="Times New Roman" w:cs="Times New Roman"/>
          <w:sz w:val="26"/>
          <w:szCs w:val="26"/>
          <w:lang w:eastAsia="en-US"/>
        </w:rPr>
        <w:t>«О внесении изменений в статьи 51 и 55 Градостроительного кодекса Российской Федерации</w:t>
      </w:r>
      <w:proofErr w:type="gramEnd"/>
      <w:r w:rsidR="002F50E2" w:rsidRPr="002F50E2">
        <w:rPr>
          <w:rFonts w:ascii="Times New Roman" w:eastAsiaTheme="minorHAnsi" w:hAnsi="Times New Roman" w:cs="Times New Roman"/>
          <w:sz w:val="26"/>
          <w:szCs w:val="26"/>
          <w:lang w:eastAsia="en-US"/>
        </w:rPr>
        <w:t>»,</w:t>
      </w:r>
      <w:r w:rsidR="008B3AC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Уставом города Когалыма, постановлением Администрации города Когалыма от 07.02.2012 №289 «Об утверждении Порядка разработки и утверждения административных регламентов предоставления муниципальных услуг», </w:t>
      </w:r>
      <w:r w:rsidRPr="00C222EF">
        <w:rPr>
          <w:rFonts w:ascii="Times New Roman" w:hAnsi="Times New Roman" w:cs="Times New Roman"/>
          <w:sz w:val="26"/>
          <w:szCs w:val="26"/>
        </w:rPr>
        <w:t xml:space="preserve">в целях приведения </w:t>
      </w:r>
      <w:r w:rsidR="002F50E2">
        <w:rPr>
          <w:rFonts w:ascii="Times New Roman" w:hAnsi="Times New Roman" w:cs="Times New Roman"/>
          <w:sz w:val="26"/>
          <w:szCs w:val="26"/>
        </w:rPr>
        <w:t>нормативно-правового акта в соответствие с действующим законодательством</w:t>
      </w:r>
      <w:r w:rsidRPr="00C222EF">
        <w:rPr>
          <w:rFonts w:ascii="Times New Roman" w:hAnsi="Times New Roman" w:cs="Times New Roman"/>
          <w:sz w:val="26"/>
          <w:szCs w:val="26"/>
        </w:rPr>
        <w:t xml:space="preserve"> Р</w:t>
      </w:r>
      <w:r w:rsidR="007261CE">
        <w:rPr>
          <w:rFonts w:ascii="Times New Roman" w:hAnsi="Times New Roman" w:cs="Times New Roman"/>
          <w:sz w:val="26"/>
          <w:szCs w:val="26"/>
        </w:rPr>
        <w:t>оссийской Федерации:</w:t>
      </w:r>
    </w:p>
    <w:p w:rsidR="002652A0" w:rsidRPr="00C222EF" w:rsidRDefault="002652A0" w:rsidP="007261CE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222EF" w:rsidRDefault="00C222EF" w:rsidP="00726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В постановлени</w:t>
      </w:r>
      <w:r w:rsidR="002652A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17.07.2012 №1752</w:t>
      </w:r>
      <w:r w:rsidR="002652A0">
        <w:rPr>
          <w:rFonts w:ascii="Times New Roman" w:hAnsi="Times New Roman" w:cs="Times New Roman"/>
          <w:sz w:val="26"/>
          <w:szCs w:val="26"/>
        </w:rPr>
        <w:t xml:space="preserve"> «Об утверждении</w:t>
      </w:r>
      <w:r w:rsidR="00926728">
        <w:rPr>
          <w:rFonts w:ascii="Times New Roman" w:hAnsi="Times New Roman" w:cs="Times New Roman"/>
          <w:sz w:val="26"/>
          <w:szCs w:val="26"/>
        </w:rPr>
        <w:t xml:space="preserve"> </w:t>
      </w:r>
      <w:r w:rsidR="00A9116B" w:rsidRPr="00BB0870">
        <w:rPr>
          <w:rFonts w:ascii="Times New Roman" w:hAnsi="Times New Roman"/>
          <w:sz w:val="26"/>
          <w:szCs w:val="26"/>
        </w:rPr>
        <w:t>Административн</w:t>
      </w:r>
      <w:r w:rsidR="00A9116B">
        <w:rPr>
          <w:rFonts w:ascii="Times New Roman" w:hAnsi="Times New Roman"/>
          <w:sz w:val="26"/>
          <w:szCs w:val="26"/>
        </w:rPr>
        <w:t>ого</w:t>
      </w:r>
      <w:r w:rsidR="00A9116B" w:rsidRPr="00BB0870">
        <w:rPr>
          <w:rFonts w:ascii="Times New Roman" w:hAnsi="Times New Roman"/>
          <w:sz w:val="26"/>
          <w:szCs w:val="26"/>
        </w:rPr>
        <w:t xml:space="preserve"> регламент</w:t>
      </w:r>
      <w:r w:rsidR="00A9116B">
        <w:rPr>
          <w:rFonts w:ascii="Times New Roman" w:hAnsi="Times New Roman"/>
          <w:sz w:val="26"/>
          <w:szCs w:val="26"/>
        </w:rPr>
        <w:t>а</w:t>
      </w:r>
      <w:r w:rsidR="00A9116B" w:rsidRPr="00BB0870">
        <w:rPr>
          <w:rFonts w:ascii="Times New Roman" w:hAnsi="Times New Roman"/>
          <w:sz w:val="26"/>
          <w:szCs w:val="26"/>
        </w:rPr>
        <w:t xml:space="preserve"> предоставления муниципальной услуги «Выдача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города Когалыма»</w:t>
      </w:r>
      <w:r w:rsidR="00A9116B">
        <w:rPr>
          <w:rFonts w:ascii="Times New Roman" w:hAnsi="Times New Roman" w:cs="Times New Roman"/>
          <w:sz w:val="26"/>
          <w:szCs w:val="26"/>
        </w:rPr>
        <w:t xml:space="preserve"> (далее – постановление) </w:t>
      </w:r>
      <w:r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A9116B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55512F">
        <w:rPr>
          <w:rFonts w:ascii="Times New Roman" w:hAnsi="Times New Roman" w:cs="Times New Roman"/>
          <w:sz w:val="26"/>
          <w:szCs w:val="26"/>
        </w:rPr>
        <w:t xml:space="preserve"> </w:t>
      </w:r>
      <w:r w:rsidR="002F50E2" w:rsidRPr="002F50E2">
        <w:rPr>
          <w:rFonts w:ascii="Times New Roman" w:hAnsi="Times New Roman" w:cs="Times New Roman"/>
          <w:sz w:val="26"/>
          <w:szCs w:val="26"/>
        </w:rPr>
        <w:t>и дополнения</w:t>
      </w:r>
      <w:r w:rsidR="00A9116B" w:rsidRPr="002F50E2">
        <w:rPr>
          <w:rFonts w:ascii="Times New Roman" w:hAnsi="Times New Roman" w:cs="Times New Roman"/>
          <w:sz w:val="26"/>
          <w:szCs w:val="26"/>
        </w:rPr>
        <w:t>:</w:t>
      </w:r>
    </w:p>
    <w:p w:rsidR="00787895" w:rsidRDefault="00787895" w:rsidP="00726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7895" w:rsidRDefault="00787895" w:rsidP="00726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7895" w:rsidRDefault="00787895" w:rsidP="00726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2C7A" w:rsidRDefault="000E2C7A" w:rsidP="00726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раздел 2 приложения к постановлению внести следующие изменения и дополнения:</w:t>
      </w:r>
    </w:p>
    <w:p w:rsidR="003642AA" w:rsidRDefault="003642AA" w:rsidP="00726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1.1.1. в абзаце 1 </w:t>
      </w:r>
      <w:r w:rsidR="002F50E2" w:rsidRPr="002F50E2">
        <w:rPr>
          <w:rFonts w:ascii="Times New Roman" w:hAnsi="Times New Roman" w:cs="Times New Roman"/>
          <w:sz w:val="26"/>
          <w:szCs w:val="26"/>
        </w:rPr>
        <w:t>пункта</w:t>
      </w:r>
      <w:r>
        <w:rPr>
          <w:rFonts w:ascii="Times New Roman" w:hAnsi="Times New Roman" w:cs="Times New Roman"/>
          <w:sz w:val="26"/>
          <w:szCs w:val="26"/>
        </w:rPr>
        <w:t xml:space="preserve">17 слова «не позднее 10 календарных дней» заменить </w:t>
      </w:r>
      <w:r w:rsidR="00926728">
        <w:rPr>
          <w:rFonts w:ascii="Times New Roman" w:hAnsi="Times New Roman" w:cs="Times New Roman"/>
          <w:sz w:val="26"/>
          <w:szCs w:val="26"/>
        </w:rPr>
        <w:t xml:space="preserve">словами </w:t>
      </w:r>
      <w:r>
        <w:rPr>
          <w:rFonts w:ascii="Times New Roman" w:hAnsi="Times New Roman" w:cs="Times New Roman"/>
          <w:sz w:val="26"/>
          <w:szCs w:val="26"/>
        </w:rPr>
        <w:t>«не позднее 7 рабочих дней»;</w:t>
      </w:r>
    </w:p>
    <w:p w:rsidR="00830B95" w:rsidRDefault="00830B95" w:rsidP="00726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1.1.</w:t>
      </w:r>
      <w:r w:rsidR="003C126F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 в подпункте 2.1</w:t>
      </w:r>
      <w:r w:rsidR="002F50E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пункта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19  слова «Едином государственном реестре прав на недвижимое имущество и сделок с ним» заменить словами «Едином государственном реестре недвижимости»;</w:t>
      </w:r>
    </w:p>
    <w:p w:rsidR="00243B6F" w:rsidRDefault="00243B6F" w:rsidP="00726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E10FA6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3C126F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A02A60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</w:t>
      </w:r>
      <w:r w:rsidR="000D396F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 </w:t>
      </w:r>
      <w:r w:rsidR="00A02A6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пункта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19 </w:t>
      </w:r>
      <w:r w:rsidR="00830B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</w:t>
      </w:r>
      <w:r w:rsidR="00A02A60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</w:t>
      </w:r>
      <w:r w:rsidR="00830B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пункт 3 </w:t>
      </w:r>
      <w:r w:rsidR="00A02A60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пункта</w:t>
      </w:r>
      <w:r w:rsidR="00830B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20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после слова «участка» дополнить словами «, выданный не ранее чем за три года до дня представления заявления на получение разрешения на строительство,»;</w:t>
      </w:r>
    </w:p>
    <w:p w:rsidR="000E2C7A" w:rsidRDefault="000E2C7A" w:rsidP="00726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E10FA6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3C126F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подпункт </w:t>
      </w:r>
      <w:r w:rsidR="00A02A60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0D396F">
        <w:rPr>
          <w:rFonts w:ascii="Times New Roman" w:eastAsiaTheme="minorHAnsi" w:hAnsi="Times New Roman" w:cs="Times New Roman"/>
          <w:sz w:val="26"/>
          <w:szCs w:val="26"/>
          <w:lang w:eastAsia="en-US"/>
        </w:rPr>
        <w:t>б</w:t>
      </w:r>
      <w:r w:rsidR="00A02A60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пункта</w:t>
      </w:r>
      <w:r w:rsidR="008B3AC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19 слова «градостроительным планом земельного участка» заменить словами «информацией, указанной в градостроительном плане земельного участка»;</w:t>
      </w:r>
    </w:p>
    <w:p w:rsidR="00926728" w:rsidRDefault="000E2C7A" w:rsidP="00726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E10FA6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3C126F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подпункт </w:t>
      </w:r>
      <w:r w:rsidR="00A02A60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r w:rsidR="00A02A60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92672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D39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пункта 19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изложить в следующей редакции:</w:t>
      </w:r>
    </w:p>
    <w:p w:rsidR="000E2C7A" w:rsidRDefault="00A02A60" w:rsidP="00726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="000E2C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г)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0E2C7A">
        <w:rPr>
          <w:rFonts w:ascii="Times New Roman" w:eastAsiaTheme="minorHAnsi" w:hAnsi="Times New Roman" w:cs="Times New Roman"/>
          <w:sz w:val="26"/>
          <w:szCs w:val="26"/>
          <w:lang w:eastAsia="en-US"/>
        </w:rPr>
        <w:t>рхитектурные решения</w:t>
      </w:r>
      <w:proofErr w:type="gramStart"/>
      <w:r w:rsidR="000E2C7A">
        <w:rPr>
          <w:rFonts w:ascii="Times New Roman" w:eastAsiaTheme="minorHAnsi" w:hAnsi="Times New Roman" w:cs="Times New Roman"/>
          <w:sz w:val="26"/>
          <w:szCs w:val="26"/>
          <w:lang w:eastAsia="en-US"/>
        </w:rPr>
        <w:t>;»</w:t>
      </w:r>
      <w:proofErr w:type="gramEnd"/>
      <w:r w:rsidR="000E2C7A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0D396F" w:rsidRDefault="000D396F" w:rsidP="00726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E10FA6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3C126F"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A02A60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19 дополнить </w:t>
      </w:r>
      <w:r w:rsidR="00A02A60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пунктом 5.1. следующего содержания:</w:t>
      </w:r>
    </w:p>
    <w:p w:rsidR="000D396F" w:rsidRDefault="000D396F" w:rsidP="00726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«5.1) заключение, предусмотренное частью 3.5 статьи 49 настоящего Кодекса, в случае использования модифицированной проектной документации;»;</w:t>
      </w:r>
    </w:p>
    <w:p w:rsidR="00E10FA6" w:rsidRDefault="00E10FA6" w:rsidP="00726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1.1.</w:t>
      </w:r>
      <w:r w:rsidR="003C126F"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A02A60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пункт 7.2 </w:t>
      </w:r>
      <w:r w:rsidR="00A02A60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19 после слова </w:t>
      </w:r>
      <w:r w:rsidR="0056458F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помещений</w:t>
      </w:r>
      <w:r w:rsidR="0056458F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дополнить словами </w:t>
      </w:r>
      <w:r w:rsidR="0056458F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 машино-мест</w:t>
      </w:r>
      <w:r w:rsidR="0056458F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E10FA6" w:rsidRDefault="00C90B7A" w:rsidP="00726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1.1.</w:t>
      </w:r>
      <w:r w:rsidR="003C126F">
        <w:rPr>
          <w:rFonts w:ascii="Times New Roman" w:eastAsiaTheme="minorHAnsi" w:hAnsi="Times New Roman" w:cs="Times New Roman"/>
          <w:sz w:val="26"/>
          <w:szCs w:val="26"/>
          <w:lang w:eastAsia="en-US"/>
        </w:rPr>
        <w:t>8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 пункт 20 дополнить подпунктом 5 следующего содержания:</w:t>
      </w:r>
    </w:p>
    <w:p w:rsidR="00C90B7A" w:rsidRDefault="00C90B7A" w:rsidP="00726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«5) До дня утверждения градостроительного регламента, установленного применительно к территориальной зоне, расположенной в границах территории исторического поселения федерального или регионального значения, и содержащего требования к архитектурным решениям объектов капитального строительства, орган исполнительной власти субъекта Российской Федерации либо структурное подразделение высшего исполнительного органа государственной власти субъекта Российской Федерации, уполномоченные в области сохранения, использования, популяризации и государственной охраны объектов культурного наследия, рассматривает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пунктами 9 - 11 </w:t>
      </w:r>
      <w:hyperlink r:id="rId8" w:history="1">
        <w:r w:rsidRPr="00983D2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статьи 60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 от 25</w:t>
      </w:r>
      <w:r w:rsidR="009D6B1A">
        <w:rPr>
          <w:rFonts w:ascii="Times New Roman" w:eastAsiaTheme="minorHAnsi" w:hAnsi="Times New Roman" w:cs="Times New Roman"/>
          <w:sz w:val="26"/>
          <w:szCs w:val="26"/>
          <w:lang w:eastAsia="en-US"/>
        </w:rPr>
        <w:t>.06.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2002 </w:t>
      </w:r>
      <w:r w:rsidR="003C126F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73-ФЗ </w:t>
      </w:r>
      <w:r w:rsidR="0056458F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Об объектах культурного наследия (памятниках истории и культуры) народов Российской Федерации</w:t>
      </w:r>
      <w:r w:rsidR="0056458F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(в редакции настоящего Федерального закона) и </w:t>
      </w:r>
      <w:hyperlink r:id="rId9" w:history="1">
        <w:r w:rsidRPr="00983D2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11.2 статьи 51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Градостроительного кодекса Российской Федерации (в редакции настоящего Федерального закона) предусмотренный </w:t>
      </w:r>
      <w:hyperlink r:id="rId10" w:history="1">
        <w:r w:rsidRPr="00983D2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пунктом 3 части 12 статьи 48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Градостроительного кодекса Российской Федерации раздел проектной документации объекта капитального строительства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или предусмотренное пунктом 4 </w:t>
      </w:r>
      <w:hyperlink r:id="rId11" w:history="1">
        <w:r w:rsidRPr="00983D2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части 9 статьи 51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Градостроительного кодекса Российской Федерации (в редакции настоящего Федерального закона) описание внешнего облика объекта индивидуального жилищного строительства и выдает заключение об их соответствии или несоответствии предмету охраны исторического поселения федерального или регионального значения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9D6B1A"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  <w:proofErr w:type="gramEnd"/>
    </w:p>
    <w:p w:rsidR="00C90B7A" w:rsidRDefault="00C90B7A" w:rsidP="00726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раздел 2 приложения к постановлению внести следующее изменение:</w:t>
      </w:r>
    </w:p>
    <w:p w:rsidR="00C90B7A" w:rsidRDefault="00983D2D" w:rsidP="00726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1.2.1. В абзаце 8 </w:t>
      </w:r>
      <w:r w:rsidR="009D6B1A">
        <w:rPr>
          <w:rFonts w:ascii="Times New Roman" w:hAnsi="Times New Roman" w:cs="Times New Roman"/>
          <w:sz w:val="26"/>
          <w:szCs w:val="26"/>
        </w:rPr>
        <w:t>пункта</w:t>
      </w:r>
      <w:r>
        <w:rPr>
          <w:rFonts w:ascii="Times New Roman" w:hAnsi="Times New Roman" w:cs="Times New Roman"/>
          <w:sz w:val="26"/>
          <w:szCs w:val="26"/>
        </w:rPr>
        <w:t xml:space="preserve"> 45 </w:t>
      </w:r>
      <w:r w:rsidR="009D6B1A">
        <w:rPr>
          <w:rFonts w:ascii="Times New Roman" w:hAnsi="Times New Roman" w:cs="Times New Roman"/>
          <w:sz w:val="26"/>
          <w:szCs w:val="26"/>
        </w:rPr>
        <w:t>цифру</w:t>
      </w:r>
      <w:r>
        <w:rPr>
          <w:rFonts w:ascii="Times New Roman" w:hAnsi="Times New Roman" w:cs="Times New Roman"/>
          <w:sz w:val="26"/>
          <w:szCs w:val="26"/>
        </w:rPr>
        <w:t xml:space="preserve"> «5» заменить </w:t>
      </w:r>
      <w:r w:rsidR="00926728">
        <w:rPr>
          <w:rFonts w:ascii="Times New Roman" w:hAnsi="Times New Roman" w:cs="Times New Roman"/>
          <w:sz w:val="26"/>
          <w:szCs w:val="26"/>
        </w:rPr>
        <w:t xml:space="preserve"> цифрой </w:t>
      </w:r>
      <w:r>
        <w:rPr>
          <w:rFonts w:ascii="Times New Roman" w:hAnsi="Times New Roman" w:cs="Times New Roman"/>
          <w:sz w:val="26"/>
          <w:szCs w:val="26"/>
        </w:rPr>
        <w:t xml:space="preserve"> «3».</w:t>
      </w:r>
    </w:p>
    <w:p w:rsidR="00C90B7A" w:rsidRDefault="00C90B7A" w:rsidP="00726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87895" w:rsidRDefault="00C222EF" w:rsidP="007261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787895" w:rsidSect="00FD5D19"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2. Отделу архитектуры и градостроительства Администрации города Когалыма (В.С.Лаишевцев) направить в юридическое управление </w:t>
      </w:r>
    </w:p>
    <w:p w:rsidR="00787895" w:rsidRDefault="00787895" w:rsidP="00787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7895" w:rsidRDefault="00787895" w:rsidP="00787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7895" w:rsidRDefault="00787895" w:rsidP="00787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2EF" w:rsidRDefault="00C222EF" w:rsidP="00787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 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  <w:proofErr w:type="gramEnd"/>
    </w:p>
    <w:p w:rsidR="007261CE" w:rsidRDefault="007261CE" w:rsidP="007261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222EF" w:rsidRPr="007261CE" w:rsidRDefault="00C222EF" w:rsidP="00726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</w:t>
      </w:r>
      <w:r w:rsidRPr="007261CE">
        <w:rPr>
          <w:rFonts w:ascii="Times New Roman" w:hAnsi="Times New Roman" w:cs="Times New Roman"/>
          <w:sz w:val="26"/>
          <w:szCs w:val="26"/>
        </w:rPr>
        <w:t>(</w:t>
      </w:r>
      <w:hyperlink r:id="rId12" w:history="1">
        <w:r w:rsidRPr="007261CE"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  <w:lang w:val="en-US"/>
          </w:rPr>
          <w:t>www</w:t>
        </w:r>
        <w:r w:rsidRPr="007261CE"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</w:rPr>
          <w:t>.</w:t>
        </w:r>
        <w:r w:rsidRPr="007261CE"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  <w:lang w:val="en-US"/>
          </w:rPr>
          <w:t>admkogalym</w:t>
        </w:r>
        <w:r w:rsidRPr="007261CE"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</w:rPr>
          <w:t>.</w:t>
        </w:r>
        <w:r w:rsidRPr="007261CE"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  <w:lang w:val="en-US"/>
          </w:rPr>
          <w:t>ru</w:t>
        </w:r>
      </w:hyperlink>
      <w:r w:rsidRPr="007261CE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7261CE">
        <w:rPr>
          <w:rFonts w:ascii="Times New Roman" w:hAnsi="Times New Roman" w:cs="Times New Roman"/>
          <w:sz w:val="26"/>
          <w:szCs w:val="26"/>
        </w:rPr>
        <w:t>.</w:t>
      </w:r>
    </w:p>
    <w:p w:rsidR="00C222EF" w:rsidRPr="007261CE" w:rsidRDefault="00C222EF" w:rsidP="00726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22EF" w:rsidRDefault="00C222EF" w:rsidP="00726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Контроль за исполнением постановления возложить на первого заместителя главы города Когалыма Р.Я.Ярема.</w:t>
      </w:r>
    </w:p>
    <w:p w:rsidR="00C222EF" w:rsidRDefault="00787895" w:rsidP="007261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37CC079C" wp14:editId="294CB601">
            <wp:simplePos x="0" y="0"/>
            <wp:positionH relativeFrom="column">
              <wp:posOffset>2604135</wp:posOffset>
            </wp:positionH>
            <wp:positionV relativeFrom="paragraph">
              <wp:posOffset>73025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261CE" w:rsidRDefault="007261CE" w:rsidP="007261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22EF" w:rsidRDefault="00C222EF" w:rsidP="007261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22EF" w:rsidRDefault="00C222EF" w:rsidP="007261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ab/>
        <w:t>города Когалыма</w:t>
      </w:r>
      <w:r w:rsidR="007261CE">
        <w:rPr>
          <w:rFonts w:ascii="Times New Roman" w:hAnsi="Times New Roman" w:cs="Times New Roman"/>
          <w:sz w:val="26"/>
          <w:szCs w:val="26"/>
        </w:rPr>
        <w:tab/>
      </w:r>
      <w:r w:rsidR="007261CE">
        <w:rPr>
          <w:rFonts w:ascii="Times New Roman" w:hAnsi="Times New Roman" w:cs="Times New Roman"/>
          <w:sz w:val="26"/>
          <w:szCs w:val="26"/>
        </w:rPr>
        <w:tab/>
      </w:r>
      <w:r w:rsidR="007261CE">
        <w:rPr>
          <w:rFonts w:ascii="Times New Roman" w:hAnsi="Times New Roman" w:cs="Times New Roman"/>
          <w:sz w:val="26"/>
          <w:szCs w:val="26"/>
        </w:rPr>
        <w:tab/>
      </w:r>
      <w:r w:rsidR="007261CE">
        <w:rPr>
          <w:rFonts w:ascii="Times New Roman" w:hAnsi="Times New Roman" w:cs="Times New Roman"/>
          <w:sz w:val="26"/>
          <w:szCs w:val="26"/>
        </w:rPr>
        <w:tab/>
      </w:r>
      <w:r w:rsidR="007261CE">
        <w:rPr>
          <w:rFonts w:ascii="Times New Roman" w:hAnsi="Times New Roman" w:cs="Times New Roman"/>
          <w:sz w:val="26"/>
          <w:szCs w:val="26"/>
        </w:rPr>
        <w:tab/>
      </w:r>
      <w:r w:rsidR="007261CE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C222EF" w:rsidRPr="007261CE" w:rsidRDefault="00C222EF" w:rsidP="00726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22EF" w:rsidRPr="007261CE" w:rsidRDefault="00C222EF" w:rsidP="00726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22EF" w:rsidRPr="007261CE" w:rsidRDefault="00C222EF" w:rsidP="00726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22EF" w:rsidRPr="007261CE" w:rsidRDefault="00C222EF" w:rsidP="00726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22EF" w:rsidRDefault="00C222EF" w:rsidP="00726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sectPr w:rsidR="00C222EF" w:rsidSect="00FD5D19">
      <w:pgSz w:w="11906" w:h="16838"/>
      <w:pgMar w:top="28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0731D"/>
    <w:multiLevelType w:val="multilevel"/>
    <w:tmpl w:val="C256E35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57"/>
    <w:rsid w:val="000D396F"/>
    <w:rsid w:val="000E2C7A"/>
    <w:rsid w:val="00243B6F"/>
    <w:rsid w:val="00247D57"/>
    <w:rsid w:val="002652A0"/>
    <w:rsid w:val="00296A2F"/>
    <w:rsid w:val="002E5578"/>
    <w:rsid w:val="002F50E2"/>
    <w:rsid w:val="003504D1"/>
    <w:rsid w:val="003642AA"/>
    <w:rsid w:val="003C126F"/>
    <w:rsid w:val="0055512F"/>
    <w:rsid w:val="0056458F"/>
    <w:rsid w:val="005E6FBE"/>
    <w:rsid w:val="007261CE"/>
    <w:rsid w:val="00787895"/>
    <w:rsid w:val="007974E1"/>
    <w:rsid w:val="007D2077"/>
    <w:rsid w:val="00830B95"/>
    <w:rsid w:val="008B3AC1"/>
    <w:rsid w:val="008F13C2"/>
    <w:rsid w:val="00923A3D"/>
    <w:rsid w:val="00926728"/>
    <w:rsid w:val="00942FC5"/>
    <w:rsid w:val="009555E5"/>
    <w:rsid w:val="00983D2D"/>
    <w:rsid w:val="009D6B1A"/>
    <w:rsid w:val="00A02A60"/>
    <w:rsid w:val="00A9116B"/>
    <w:rsid w:val="00AD2985"/>
    <w:rsid w:val="00B956EB"/>
    <w:rsid w:val="00C222EF"/>
    <w:rsid w:val="00C8195A"/>
    <w:rsid w:val="00C90B7A"/>
    <w:rsid w:val="00E10FA6"/>
    <w:rsid w:val="00F01520"/>
    <w:rsid w:val="00F56A49"/>
    <w:rsid w:val="00FD5D19"/>
    <w:rsid w:val="00FF6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222EF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C222EF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C22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E6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6FBE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78789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87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222EF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C222EF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C22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E6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6FBE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78789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87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6A82707BAECB2AFE7D37637583BAA6C42CE64A0F08A5F9932BA7ED3C610D4C29E30CF618MEG8K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6A82707BAECB2AFE7D37637583BAA6C725E0400307A5F9932BA7ED3C610D4C29E30CF218MEG2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6A82707BAECB2AFE7D37637583BAA6C725E0400307A5F9932BA7ED3C610D4C29E30CF519EB0B82M2G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6A82707BAECB2AFE7D37637583BAA6C725E0400307A5F9932BA7ED3C610D4C29E30CF719MEG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6B314-CEFA-474D-9C26-109FB81B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Лариса Юрьевна</dc:creator>
  <cp:lastModifiedBy>Ватулина Яна Юрьевна</cp:lastModifiedBy>
  <cp:revision>8</cp:revision>
  <cp:lastPrinted>2017-03-07T06:45:00Z</cp:lastPrinted>
  <dcterms:created xsi:type="dcterms:W3CDTF">2017-02-08T04:36:00Z</dcterms:created>
  <dcterms:modified xsi:type="dcterms:W3CDTF">2017-03-07T06:46:00Z</dcterms:modified>
</cp:coreProperties>
</file>