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23" w:rsidRDefault="00100423" w:rsidP="00100423">
      <w:pPr>
        <w:jc w:val="center"/>
        <w:rPr>
          <w:rFonts w:ascii="Times New Roman" w:hAnsi="Times New Roman" w:cs="Times New Roman"/>
          <w:sz w:val="26"/>
          <w:szCs w:val="26"/>
        </w:rPr>
      </w:pPr>
      <w:r w:rsidRPr="00C632C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00423" w:rsidRDefault="00100423" w:rsidP="001004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</w:p>
    <w:p w:rsidR="00100423" w:rsidRDefault="00100423" w:rsidP="001004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100423" w:rsidRDefault="00100423" w:rsidP="001004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00423" w:rsidRDefault="00100423" w:rsidP="0010042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28.10.2015 №3202</w:t>
      </w:r>
    </w:p>
    <w:p w:rsidR="00100423" w:rsidRDefault="00100423" w:rsidP="0010042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00423" w:rsidRDefault="00100423" w:rsidP="00B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статьей 86 Бюджетного кодекса Российской Федерации, статьей 144 Трудового кодекса Российской Федерации, частью 2 статьи 53 Федерального от 06.10.2003 №131-ФЗ «Об общих принципах организации местного самоуправления в Российской Федерации»:</w:t>
      </w:r>
    </w:p>
    <w:p w:rsidR="00035FF7" w:rsidRPr="006E1D30" w:rsidRDefault="00100423" w:rsidP="00B32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1D30">
        <w:rPr>
          <w:rFonts w:ascii="Times New Roman" w:hAnsi="Times New Roman" w:cs="Times New Roman"/>
          <w:sz w:val="26"/>
          <w:szCs w:val="26"/>
        </w:rPr>
        <w:t>В постановление Администрации города Когалыма от 28.10.2015 №3202 «Об утверждении Положения об оплате труда и стимулирующих выплатах работников муниципального автономного учреждения «Редакция газеты «когалымский вестник» (далее – постановление) внести следующие изменения и дополнения:</w:t>
      </w:r>
    </w:p>
    <w:p w:rsidR="00100423" w:rsidRDefault="007A201B" w:rsidP="00B328E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201B">
        <w:rPr>
          <w:rFonts w:ascii="Times New Roman" w:hAnsi="Times New Roman" w:cs="Times New Roman"/>
          <w:sz w:val="26"/>
          <w:szCs w:val="26"/>
        </w:rPr>
        <w:t>Пункт 8.6 приложения к постановлению</w:t>
      </w:r>
      <w:r w:rsidR="00FD121D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 w:rsidRPr="007A20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31939" w:rsidRPr="00124D13" w:rsidRDefault="007A201B" w:rsidP="00B3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«8.6. </w:t>
      </w:r>
      <w:r w:rsidR="00D31939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установлении размера премиальной выплаты по итогам работы </w:t>
      </w:r>
      <w:r w:rsidR="00D31939" w:rsidRPr="00124D13">
        <w:rPr>
          <w:rFonts w:ascii="Times New Roman" w:hAnsi="Times New Roman" w:cs="Times New Roman"/>
          <w:sz w:val="26"/>
          <w:szCs w:val="26"/>
        </w:rPr>
        <w:t>руководителя</w:t>
      </w:r>
      <w:r w:rsidR="00D31939" w:rsidRPr="00124D1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Учреждения учитываются критерии и показатели эффективности и результатив</w:t>
      </w:r>
      <w:r w:rsidR="00FD121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ности деятельности руководителя в соответствии с приложением 1 к </w:t>
      </w:r>
      <w:r w:rsidR="006E1D30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настоящему постановлению.</w:t>
      </w:r>
    </w:p>
    <w:p w:rsidR="00D31939" w:rsidRPr="00AF2035" w:rsidRDefault="00D31939" w:rsidP="00B3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AF203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Максимальный размер премиальной выплаты по итогам работы за месяц </w:t>
      </w:r>
      <w:r w:rsidRPr="006C13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</w:t>
      </w:r>
      <w:r w:rsidRPr="006C138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5 процентов от должностного оклада 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(оклада)</w:t>
      </w:r>
      <w:r w:rsidRPr="00AF203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</w:p>
    <w:p w:rsidR="008F23A8" w:rsidRPr="00E25396" w:rsidRDefault="00D31939" w:rsidP="00B3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31939">
        <w:rPr>
          <w:rFonts w:ascii="Times New Roman" w:hAnsi="Times New Roman" w:cs="Times New Roman"/>
          <w:sz w:val="26"/>
          <w:szCs w:val="26"/>
        </w:rPr>
        <w:t>Руководитель</w:t>
      </w:r>
      <w:r w:rsidRPr="00D319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Учреждения обязан 1 числа месяца, следующего за отчетным периодом представлять Учредителю Учреждения </w:t>
      </w:r>
      <w:r w:rsidRPr="00E253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отчет </w:t>
      </w:r>
      <w:r w:rsidR="008F23A8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 выполнении целевых показателей эффективности работы Учреждения </w:t>
      </w:r>
      <w:r w:rsidR="00E25DF9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и </w:t>
      </w:r>
      <w:r w:rsidR="008F23A8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>деятельности руководител</w:t>
      </w:r>
      <w:r w:rsidR="00432702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>я</w:t>
      </w:r>
      <w:r w:rsidR="008F23A8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Учреждения</w:t>
      </w:r>
      <w:r w:rsidR="006E1D30" w:rsidRPr="00E2539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в соответствии с приложением 2 к настоящему постановлению.</w:t>
      </w:r>
    </w:p>
    <w:p w:rsidR="00D31939" w:rsidRPr="00D31939" w:rsidRDefault="008F23A8" w:rsidP="00B3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319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D31939" w:rsidRPr="00D319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При непредставлении в установленный срок или представлении с нарушением установленного порядка премирования </w:t>
      </w:r>
      <w:r w:rsidR="00D31939" w:rsidRPr="00D31939">
        <w:rPr>
          <w:rFonts w:ascii="Times New Roman" w:hAnsi="Times New Roman" w:cs="Times New Roman"/>
          <w:sz w:val="26"/>
          <w:szCs w:val="26"/>
        </w:rPr>
        <w:t>руководител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D31939" w:rsidRPr="00D319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целевые показатели эффективности работы Учреждения считаются невыполненными.</w:t>
      </w:r>
    </w:p>
    <w:p w:rsidR="00D31939" w:rsidRPr="00D31939" w:rsidRDefault="00D31939" w:rsidP="00B3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D3193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Структурное подразделение Учредителя, координирующее деятельность Учреждения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Когалыма о выплате премии.</w:t>
      </w:r>
    </w:p>
    <w:p w:rsidR="00D31939" w:rsidRDefault="00D31939" w:rsidP="00B328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1939">
        <w:rPr>
          <w:rFonts w:ascii="Times New Roman" w:hAnsi="Times New Roman" w:cs="Times New Roman"/>
          <w:sz w:val="26"/>
          <w:szCs w:val="26"/>
        </w:rPr>
        <w:t xml:space="preserve">Основанием для выплаты по итогам работы за месяц руководителя Учреждения является распоряжение Администрации города Когалыма, которое </w:t>
      </w:r>
      <w:r w:rsidR="006E1D30">
        <w:rPr>
          <w:rFonts w:ascii="Times New Roman" w:hAnsi="Times New Roman" w:cs="Times New Roman"/>
          <w:sz w:val="26"/>
          <w:szCs w:val="26"/>
        </w:rPr>
        <w:t>разрабатывает</w:t>
      </w:r>
      <w:r w:rsidRPr="00D31939">
        <w:rPr>
          <w:rFonts w:ascii="Times New Roman" w:hAnsi="Times New Roman" w:cs="Times New Roman"/>
          <w:sz w:val="26"/>
          <w:szCs w:val="26"/>
        </w:rPr>
        <w:t xml:space="preserve"> управление по общим вопросам Администрации города </w:t>
      </w:r>
      <w:r w:rsidR="00546572">
        <w:rPr>
          <w:rFonts w:ascii="Times New Roman" w:hAnsi="Times New Roman" w:cs="Times New Roman"/>
          <w:sz w:val="26"/>
          <w:szCs w:val="26"/>
        </w:rPr>
        <w:t>Когалыма.</w:t>
      </w:r>
    </w:p>
    <w:p w:rsidR="00D31939" w:rsidRDefault="00D31939" w:rsidP="00B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сумме баллов, соответствующей выполнению всех показателей, размер премии </w:t>
      </w:r>
      <w:r w:rsidR="00B20D64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Учреждения за отчетный период равен 100 процентам от установленного размера премии. При начислении более низкой суммы баллов, премия </w:t>
      </w:r>
      <w:r w:rsidR="00B20D64">
        <w:rPr>
          <w:rFonts w:ascii="Times New Roman" w:hAnsi="Times New Roman" w:cs="Times New Roman"/>
          <w:sz w:val="26"/>
          <w:szCs w:val="26"/>
        </w:rPr>
        <w:t>руководителя</w:t>
      </w:r>
      <w:r>
        <w:rPr>
          <w:rFonts w:ascii="Times New Roman" w:hAnsi="Times New Roman" w:cs="Times New Roman"/>
          <w:sz w:val="26"/>
          <w:szCs w:val="26"/>
        </w:rPr>
        <w:t xml:space="preserve"> Учреждения снижается пропорционально баллам.</w:t>
      </w:r>
    </w:p>
    <w:p w:rsidR="00D31939" w:rsidRDefault="00D31939" w:rsidP="00B328E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5396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8F23A8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>о выполнении целевых показателей эффективности работы Учреждения и руководител</w:t>
      </w:r>
      <w:r w:rsidR="00432702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>я</w:t>
      </w:r>
      <w:r w:rsidR="008F23A8" w:rsidRPr="00E25396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Учреждения </w:t>
      </w:r>
      <w:r w:rsidRPr="00E25396">
        <w:rPr>
          <w:rFonts w:ascii="Times New Roman" w:hAnsi="Times New Roman" w:cs="Times New Roman"/>
          <w:sz w:val="26"/>
          <w:szCs w:val="26"/>
        </w:rPr>
        <w:t>для премирования за декабрь меся</w:t>
      </w:r>
      <w:r>
        <w:rPr>
          <w:rFonts w:ascii="Times New Roman" w:hAnsi="Times New Roman" w:cs="Times New Roman"/>
          <w:sz w:val="26"/>
          <w:szCs w:val="26"/>
        </w:rPr>
        <w:t>ц предоставляется Учредителю до 15 декабря текущего финансового года.</w:t>
      </w:r>
    </w:p>
    <w:p w:rsidR="00D31939" w:rsidRDefault="00D31939" w:rsidP="00B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Лишение премиальной выплаты по итогам работы за месяц производится в случае применения к </w:t>
      </w:r>
      <w:r w:rsidR="009A1064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Учреждения дисциплинарного взыскания.</w:t>
      </w:r>
    </w:p>
    <w:p w:rsidR="00D31939" w:rsidRDefault="00D31939" w:rsidP="00B328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Лишение премиальной выплаты производится в том расчетном периоде, в котором к </w:t>
      </w:r>
      <w:r w:rsidR="00B20D64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были применены дисциплинарные взыскания.».</w:t>
      </w:r>
    </w:p>
    <w:p w:rsidR="00D31939" w:rsidRDefault="00D31939" w:rsidP="00B328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39" w:rsidRDefault="00A91A51" w:rsidP="00B328E7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8.8 </w:t>
      </w:r>
      <w:r w:rsidR="006E1D30">
        <w:rPr>
          <w:rFonts w:ascii="Times New Roman" w:hAnsi="Times New Roman" w:cs="Times New Roman"/>
          <w:sz w:val="26"/>
          <w:szCs w:val="26"/>
        </w:rPr>
        <w:t>Положения дополнить абзацами</w:t>
      </w:r>
      <w:r>
        <w:rPr>
          <w:rFonts w:ascii="Times New Roman" w:hAnsi="Times New Roman" w:cs="Times New Roman"/>
          <w:sz w:val="26"/>
          <w:szCs w:val="26"/>
        </w:rPr>
        <w:t xml:space="preserve"> вторым и третьим </w:t>
      </w:r>
      <w:r w:rsidR="006E1D3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следующе</w:t>
      </w:r>
      <w:r w:rsidR="006E1D30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1D30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91A51" w:rsidRDefault="00A91A51" w:rsidP="00B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«Премия по итогам работы за год выплачивается </w:t>
      </w:r>
      <w:r w:rsidR="00B20D64">
        <w:rPr>
          <w:rFonts w:ascii="Times New Roman" w:hAnsi="Times New Roman" w:cs="Times New Roman"/>
          <w:sz w:val="26"/>
          <w:szCs w:val="26"/>
        </w:rPr>
        <w:t>руководителю</w:t>
      </w:r>
      <w:r>
        <w:rPr>
          <w:rFonts w:ascii="Times New Roman" w:hAnsi="Times New Roman" w:cs="Times New Roman"/>
          <w:sz w:val="26"/>
          <w:szCs w:val="26"/>
        </w:rPr>
        <w:t xml:space="preserve"> Учреждения, отработавше</w:t>
      </w:r>
      <w:r w:rsidR="006E1D30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полный календарный год, а также отработавше</w:t>
      </w:r>
      <w:r w:rsidR="006E1D30">
        <w:rPr>
          <w:rFonts w:ascii="Times New Roman" w:hAnsi="Times New Roman" w:cs="Times New Roman"/>
          <w:sz w:val="26"/>
          <w:szCs w:val="26"/>
        </w:rPr>
        <w:t>му</w:t>
      </w:r>
      <w:r>
        <w:rPr>
          <w:rFonts w:ascii="Times New Roman" w:hAnsi="Times New Roman" w:cs="Times New Roman"/>
          <w:sz w:val="26"/>
          <w:szCs w:val="26"/>
        </w:rPr>
        <w:t xml:space="preserve"> неполный календарный год пропорционально фактически отработанному времени в календарном году.</w:t>
      </w:r>
    </w:p>
    <w:p w:rsidR="00A91A51" w:rsidRDefault="00A91A51" w:rsidP="00B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Премиальные выплаты по итогам работы за год производятся с учетом обеспечения указанных выплат финансовыми средствами, в пределах доведенных бюджетных ассигнований, лимитов бюджетных обязательств бюджета города Когалыма, направленных на финансовое обеспечение выполнения муниципального задания на оказание муниципальных услуг в виде субсидий. Конкретный размер премии устанавливается в абсолютном значении.».</w:t>
      </w:r>
    </w:p>
    <w:p w:rsidR="00A91A51" w:rsidRDefault="00A91A51" w:rsidP="00B328E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1939" w:rsidRPr="00D31939" w:rsidRDefault="00A91A51" w:rsidP="00B328E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6E1D30">
        <w:rPr>
          <w:rFonts w:ascii="Times New Roman" w:hAnsi="Times New Roman" w:cs="Times New Roman"/>
          <w:sz w:val="26"/>
          <w:szCs w:val="26"/>
        </w:rPr>
        <w:t>Положению</w:t>
      </w:r>
      <w:r>
        <w:rPr>
          <w:rFonts w:ascii="Times New Roman" w:hAnsi="Times New Roman" w:cs="Times New Roman"/>
          <w:sz w:val="26"/>
          <w:szCs w:val="26"/>
        </w:rPr>
        <w:t xml:space="preserve"> дополнить приложениями 1, 2 согласно приложениям 1, 2 к настоящему постановлению.</w:t>
      </w:r>
    </w:p>
    <w:p w:rsidR="007A201B" w:rsidRDefault="007A201B" w:rsidP="00B328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A51" w:rsidRDefault="00A91A51" w:rsidP="00B328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5 постановления слова «заместитель главы Администрации» заменить словами «заместитель главы».</w:t>
      </w:r>
    </w:p>
    <w:p w:rsidR="00A91A51" w:rsidRPr="00A91A51" w:rsidRDefault="00A91A51" w:rsidP="00B328E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91A51" w:rsidRPr="00A91A51" w:rsidRDefault="00A91A51" w:rsidP="00B328E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1A51">
        <w:rPr>
          <w:rFonts w:ascii="Times New Roman" w:hAnsi="Times New Roman" w:cs="Times New Roman"/>
          <w:sz w:val="26"/>
          <w:szCs w:val="26"/>
        </w:rPr>
        <w:t>Управлению экономики Администрации города Когалыма (</w:t>
      </w:r>
      <w:proofErr w:type="spellStart"/>
      <w:r w:rsidRPr="00A91A51">
        <w:rPr>
          <w:rFonts w:ascii="Times New Roman" w:hAnsi="Times New Roman" w:cs="Times New Roman"/>
          <w:sz w:val="26"/>
          <w:szCs w:val="26"/>
        </w:rPr>
        <w:t>Е.Г.Загорская</w:t>
      </w:r>
      <w:proofErr w:type="spellEnd"/>
      <w:r w:rsidRPr="00A91A51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</w:t>
      </w:r>
      <w:r w:rsidR="006E1D30">
        <w:rPr>
          <w:rFonts w:ascii="Times New Roman" w:hAnsi="Times New Roman" w:cs="Times New Roman"/>
          <w:sz w:val="26"/>
          <w:szCs w:val="26"/>
        </w:rPr>
        <w:t>текст постановления и приложения</w:t>
      </w:r>
      <w:r w:rsidRPr="00A91A51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91A51" w:rsidRPr="007E017B" w:rsidRDefault="00A91A51" w:rsidP="00B328E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A91A51" w:rsidRPr="007E017B" w:rsidRDefault="00A91A51" w:rsidP="00B32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6E1D30">
        <w:rPr>
          <w:rFonts w:ascii="Times New Roman" w:hAnsi="Times New Roman" w:cs="Times New Roman"/>
          <w:sz w:val="26"/>
          <w:szCs w:val="26"/>
        </w:rPr>
        <w:t>оящее постановление и приложения</w:t>
      </w:r>
      <w:r w:rsidRPr="007E017B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</w:t>
      </w:r>
      <w:r w:rsidR="002A27A6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="002A27A6" w:rsidRPr="00B36325">
        <w:rPr>
          <w:rFonts w:ascii="Times New Roman" w:hAnsi="Times New Roman" w:cs="Times New Roman"/>
          <w:sz w:val="26"/>
          <w:szCs w:val="26"/>
        </w:rPr>
        <w:t xml:space="preserve">сети </w:t>
      </w:r>
      <w:r w:rsidRPr="007E017B">
        <w:rPr>
          <w:rFonts w:ascii="Times New Roman" w:hAnsi="Times New Roman" w:cs="Times New Roman"/>
          <w:sz w:val="26"/>
          <w:szCs w:val="26"/>
        </w:rPr>
        <w:t xml:space="preserve">Интернет </w:t>
      </w:r>
      <w:r w:rsidRPr="00464967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Pr="00464967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64967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64967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64967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64967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64967">
        <w:rPr>
          <w:rFonts w:ascii="Times New Roman" w:hAnsi="Times New Roman" w:cs="Times New Roman"/>
          <w:sz w:val="26"/>
          <w:szCs w:val="26"/>
        </w:rPr>
        <w:t>).</w:t>
      </w:r>
    </w:p>
    <w:p w:rsidR="00A91A51" w:rsidRPr="007E017B" w:rsidRDefault="00A91A51" w:rsidP="00B3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A51" w:rsidRPr="007E017B" w:rsidRDefault="00B328E7" w:rsidP="00B32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91A51" w:rsidRPr="007E017B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A91A51" w:rsidRPr="007E017B">
        <w:rPr>
          <w:rFonts w:ascii="Times New Roman" w:hAnsi="Times New Roman" w:cs="Times New Roman"/>
          <w:sz w:val="26"/>
          <w:szCs w:val="26"/>
        </w:rPr>
        <w:t>Т.И.Черных</w:t>
      </w:r>
      <w:proofErr w:type="spellEnd"/>
      <w:r w:rsidR="00A91A51" w:rsidRPr="007E017B">
        <w:rPr>
          <w:rFonts w:ascii="Times New Roman" w:hAnsi="Times New Roman" w:cs="Times New Roman"/>
          <w:sz w:val="26"/>
          <w:szCs w:val="26"/>
        </w:rPr>
        <w:t>.</w:t>
      </w:r>
    </w:p>
    <w:p w:rsidR="00A91A51" w:rsidRPr="007E017B" w:rsidRDefault="00A91A51" w:rsidP="00B328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A91A51" w:rsidRPr="007E017B" w:rsidRDefault="00A91A51" w:rsidP="00B328E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E017B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 w:rsidRPr="007E01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A91A51" w:rsidRPr="00354DA5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A5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A91A51" w:rsidRPr="00354DA5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A5">
        <w:rPr>
          <w:rFonts w:ascii="Times New Roman" w:hAnsi="Times New Roman" w:cs="Times New Roman"/>
          <w:sz w:val="20"/>
          <w:szCs w:val="20"/>
        </w:rPr>
        <w:t>Зам. главы Администрации</w:t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="00432702" w:rsidRPr="00354D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54DA5">
        <w:rPr>
          <w:rFonts w:ascii="Times New Roman" w:hAnsi="Times New Roman" w:cs="Times New Roman"/>
          <w:sz w:val="20"/>
          <w:szCs w:val="20"/>
        </w:rPr>
        <w:t>Т.И.Черных</w:t>
      </w:r>
      <w:proofErr w:type="spellEnd"/>
    </w:p>
    <w:p w:rsidR="00A91A51" w:rsidRPr="00354DA5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A5">
        <w:rPr>
          <w:rFonts w:ascii="Times New Roman" w:hAnsi="Times New Roman" w:cs="Times New Roman"/>
          <w:sz w:val="20"/>
          <w:szCs w:val="20"/>
        </w:rPr>
        <w:t>Начальник ЮУ</w:t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="00354D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46572" w:rsidRPr="00354DA5">
        <w:rPr>
          <w:rFonts w:ascii="Times New Roman" w:hAnsi="Times New Roman" w:cs="Times New Roman"/>
          <w:sz w:val="20"/>
          <w:szCs w:val="20"/>
        </w:rPr>
        <w:t>А.В.Косолапов</w:t>
      </w:r>
      <w:proofErr w:type="spellEnd"/>
    </w:p>
    <w:p w:rsidR="00A91A51" w:rsidRPr="00354DA5" w:rsidRDefault="002413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54DA5">
        <w:rPr>
          <w:rFonts w:ascii="Times New Roman" w:hAnsi="Times New Roman" w:cs="Times New Roman"/>
          <w:sz w:val="20"/>
          <w:szCs w:val="20"/>
        </w:rPr>
        <w:t>Н</w:t>
      </w:r>
      <w:r w:rsidR="00A91A51" w:rsidRPr="00354DA5">
        <w:rPr>
          <w:rFonts w:ascii="Times New Roman" w:hAnsi="Times New Roman" w:cs="Times New Roman"/>
          <w:sz w:val="20"/>
          <w:szCs w:val="20"/>
        </w:rPr>
        <w:t>ачальни</w:t>
      </w:r>
      <w:r w:rsidR="00546572" w:rsidRPr="00354DA5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A91A51" w:rsidRPr="00354DA5">
        <w:rPr>
          <w:rFonts w:ascii="Times New Roman" w:hAnsi="Times New Roman" w:cs="Times New Roman"/>
          <w:sz w:val="20"/>
          <w:szCs w:val="20"/>
        </w:rPr>
        <w:t xml:space="preserve"> УЭ</w:t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54DA5">
        <w:rPr>
          <w:rFonts w:ascii="Times New Roman" w:hAnsi="Times New Roman" w:cs="Times New Roman"/>
          <w:sz w:val="20"/>
          <w:szCs w:val="20"/>
        </w:rPr>
        <w:t>Е.Г.Загорская</w:t>
      </w:r>
      <w:proofErr w:type="spellEnd"/>
    </w:p>
    <w:p w:rsidR="00A91A51" w:rsidRPr="00354DA5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A5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spellStart"/>
      <w:r w:rsidRPr="00354DA5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Pr="00354DA5">
        <w:rPr>
          <w:rFonts w:ascii="Times New Roman" w:hAnsi="Times New Roman" w:cs="Times New Roman"/>
          <w:sz w:val="20"/>
          <w:szCs w:val="20"/>
        </w:rPr>
        <w:tab/>
      </w:r>
      <w:r w:rsidR="00432702" w:rsidRPr="00354D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54DA5">
        <w:rPr>
          <w:rFonts w:ascii="Times New Roman" w:hAnsi="Times New Roman" w:cs="Times New Roman"/>
          <w:sz w:val="20"/>
          <w:szCs w:val="20"/>
        </w:rPr>
        <w:t>А.А.Рябинина</w:t>
      </w:r>
      <w:proofErr w:type="spellEnd"/>
    </w:p>
    <w:p w:rsidR="00546572" w:rsidRPr="00354DA5" w:rsidRDefault="006A24B0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A5">
        <w:rPr>
          <w:rFonts w:ascii="Times New Roman" w:hAnsi="Times New Roman" w:cs="Times New Roman"/>
          <w:sz w:val="20"/>
          <w:szCs w:val="20"/>
        </w:rPr>
        <w:t xml:space="preserve">Гл. спец </w:t>
      </w:r>
      <w:r w:rsidR="00A91A51" w:rsidRPr="00354DA5">
        <w:rPr>
          <w:rFonts w:ascii="Times New Roman" w:hAnsi="Times New Roman" w:cs="Times New Roman"/>
          <w:sz w:val="20"/>
          <w:szCs w:val="20"/>
        </w:rPr>
        <w:t>сектора пресс-службы</w:t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="00A91A51" w:rsidRPr="00354DA5">
        <w:rPr>
          <w:rFonts w:ascii="Times New Roman" w:hAnsi="Times New Roman" w:cs="Times New Roman"/>
          <w:sz w:val="20"/>
          <w:szCs w:val="20"/>
        </w:rPr>
        <w:tab/>
      </w:r>
      <w:r w:rsidR="00354DA5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54DA5">
        <w:rPr>
          <w:rFonts w:ascii="Times New Roman" w:hAnsi="Times New Roman" w:cs="Times New Roman"/>
          <w:sz w:val="20"/>
          <w:szCs w:val="20"/>
        </w:rPr>
        <w:t>Д.И.Мехтиев</w:t>
      </w:r>
      <w:proofErr w:type="spellEnd"/>
    </w:p>
    <w:p w:rsidR="00A91A51" w:rsidRPr="00354DA5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A5">
        <w:rPr>
          <w:rFonts w:ascii="Times New Roman" w:hAnsi="Times New Roman" w:cs="Times New Roman"/>
          <w:sz w:val="20"/>
          <w:szCs w:val="20"/>
        </w:rPr>
        <w:t>Подготовлено:</w:t>
      </w:r>
    </w:p>
    <w:p w:rsidR="00A91A51" w:rsidRPr="00432702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32702">
        <w:rPr>
          <w:rFonts w:ascii="Times New Roman" w:hAnsi="Times New Roman" w:cs="Times New Roman"/>
        </w:rPr>
        <w:t>Начальник ОТиЗ УЭ</w:t>
      </w:r>
      <w:r w:rsidRPr="00432702">
        <w:rPr>
          <w:rFonts w:ascii="Times New Roman" w:hAnsi="Times New Roman" w:cs="Times New Roman"/>
        </w:rPr>
        <w:tab/>
      </w:r>
      <w:r w:rsidRPr="00432702">
        <w:rPr>
          <w:rFonts w:ascii="Times New Roman" w:hAnsi="Times New Roman" w:cs="Times New Roman"/>
        </w:rPr>
        <w:tab/>
      </w:r>
      <w:r w:rsidRPr="00432702">
        <w:rPr>
          <w:rFonts w:ascii="Times New Roman" w:hAnsi="Times New Roman" w:cs="Times New Roman"/>
        </w:rPr>
        <w:tab/>
      </w:r>
      <w:r w:rsidRPr="00432702">
        <w:rPr>
          <w:rFonts w:ascii="Times New Roman" w:hAnsi="Times New Roman" w:cs="Times New Roman"/>
        </w:rPr>
        <w:tab/>
      </w:r>
      <w:r w:rsidR="00432702">
        <w:rPr>
          <w:rFonts w:ascii="Times New Roman" w:hAnsi="Times New Roman" w:cs="Times New Roman"/>
        </w:rPr>
        <w:tab/>
      </w:r>
      <w:proofErr w:type="spellStart"/>
      <w:r w:rsidRPr="00432702">
        <w:rPr>
          <w:rFonts w:ascii="Times New Roman" w:hAnsi="Times New Roman" w:cs="Times New Roman"/>
        </w:rPr>
        <w:t>Н.М.Прытова</w:t>
      </w:r>
      <w:proofErr w:type="spellEnd"/>
    </w:p>
    <w:p w:rsidR="00A91A51" w:rsidRPr="00354DA5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4DA5">
        <w:rPr>
          <w:rFonts w:ascii="Times New Roman" w:hAnsi="Times New Roman" w:cs="Times New Roman"/>
          <w:sz w:val="20"/>
          <w:szCs w:val="20"/>
        </w:rPr>
        <w:t xml:space="preserve">Разослать: УЭ, </w:t>
      </w:r>
      <w:proofErr w:type="spellStart"/>
      <w:r w:rsidRPr="00354DA5">
        <w:rPr>
          <w:rFonts w:ascii="Times New Roman" w:hAnsi="Times New Roman" w:cs="Times New Roman"/>
          <w:sz w:val="20"/>
          <w:szCs w:val="20"/>
        </w:rPr>
        <w:t>ОФЭОиК</w:t>
      </w:r>
      <w:proofErr w:type="spellEnd"/>
      <w:r w:rsidRPr="00354DA5">
        <w:rPr>
          <w:rFonts w:ascii="Times New Roman" w:hAnsi="Times New Roman" w:cs="Times New Roman"/>
          <w:sz w:val="20"/>
          <w:szCs w:val="20"/>
        </w:rPr>
        <w:t xml:space="preserve">, МАУ «РГ «КВ», </w:t>
      </w:r>
      <w:r w:rsidR="00B328E7" w:rsidRPr="00354DA5">
        <w:rPr>
          <w:rFonts w:ascii="Times New Roman" w:hAnsi="Times New Roman" w:cs="Times New Roman"/>
          <w:sz w:val="20"/>
          <w:szCs w:val="20"/>
        </w:rPr>
        <w:t>сектор ПС</w:t>
      </w:r>
      <w:r w:rsidRPr="00354DA5">
        <w:rPr>
          <w:rFonts w:ascii="Times New Roman" w:hAnsi="Times New Roman" w:cs="Times New Roman"/>
          <w:sz w:val="20"/>
          <w:szCs w:val="20"/>
        </w:rPr>
        <w:t>, Сабуров</w:t>
      </w:r>
    </w:p>
    <w:p w:rsidR="00146148" w:rsidRDefault="00146148" w:rsidP="001461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6B6F8E">
        <w:rPr>
          <w:rFonts w:ascii="Times New Roman" w:hAnsi="Times New Roman" w:cs="Times New Roman"/>
          <w:sz w:val="26"/>
          <w:szCs w:val="26"/>
        </w:rPr>
        <w:t>1</w:t>
      </w:r>
    </w:p>
    <w:p w:rsidR="00146148" w:rsidRDefault="00146148" w:rsidP="001461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46148" w:rsidRDefault="00146148" w:rsidP="001461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46148" w:rsidRDefault="00146148" w:rsidP="001461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 №___________</w:t>
      </w:r>
    </w:p>
    <w:p w:rsidR="00146148" w:rsidRDefault="00146148" w:rsidP="001461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46148" w:rsidRPr="00343B21" w:rsidRDefault="00146148" w:rsidP="001461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43B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Целевые </w:t>
      </w:r>
      <w:r w:rsidRPr="00697E0F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показатели эффективности </w:t>
      </w:r>
      <w:r w:rsidRPr="00343B21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деятельности Учреждения и критерии оценки эффективности работы руководител</w:t>
      </w:r>
      <w:r w:rsidR="0043270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Учреждения</w:t>
      </w:r>
    </w:p>
    <w:p w:rsidR="00146148" w:rsidRPr="00865902" w:rsidRDefault="00146148" w:rsidP="001461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146148" w:rsidRPr="00343B21" w:rsidRDefault="00146148" w:rsidP="00146148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275"/>
        <w:gridCol w:w="3006"/>
        <w:gridCol w:w="2097"/>
        <w:gridCol w:w="1701"/>
      </w:tblGrid>
      <w:tr w:rsidR="00146148" w:rsidRPr="00343B21" w:rsidTr="00506AE4">
        <w:tc>
          <w:tcPr>
            <w:tcW w:w="668" w:type="dxa"/>
            <w:shd w:val="clear" w:color="auto" w:fill="auto"/>
            <w:vAlign w:val="center"/>
          </w:tcPr>
          <w:p w:rsidR="00146148" w:rsidRPr="00343B21" w:rsidRDefault="00146148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146148" w:rsidRPr="00343B21" w:rsidRDefault="00146148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146148" w:rsidRPr="00343B21" w:rsidRDefault="00146148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146148" w:rsidRPr="00343B21" w:rsidRDefault="00146148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Критерии оценки деятельности в баллах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148" w:rsidRPr="00343B21" w:rsidRDefault="00146148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Баллы (максимально возможное количество)</w:t>
            </w:r>
          </w:p>
        </w:tc>
      </w:tr>
      <w:tr w:rsidR="004A572B" w:rsidRPr="00343B21" w:rsidTr="00506AE4">
        <w:tc>
          <w:tcPr>
            <w:tcW w:w="668" w:type="dxa"/>
            <w:vMerge w:val="restart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Соблюдение исполнительской отчетной дисциплины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Учреждением муниципального задания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 баллов.</w:t>
            </w:r>
          </w:p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замечаний -снижение на 1 балл за каждое замечание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2B" w:rsidRPr="00343B21" w:rsidRDefault="006A24B0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A57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572B" w:rsidRPr="00343B21" w:rsidTr="00506AE4">
        <w:tc>
          <w:tcPr>
            <w:tcW w:w="668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Исполнение протокольных решений заседаний комиссий; качественное и своевременное выполнение правовых актов, регламентирующих отношения в сфере деятельности Учреждения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–10 </w:t>
            </w:r>
          </w:p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572B" w:rsidRPr="00343B21" w:rsidTr="00506AE4">
        <w:tc>
          <w:tcPr>
            <w:tcW w:w="668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4A572B" w:rsidRPr="00343B21" w:rsidRDefault="004A572B" w:rsidP="0014614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нарушений сроков и замечаний по результатам предоставления годовой и квартальной отчетности, налоговой и статистической отчетности и отчетности во внебюджетные фонды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Отсутствует – 10</w:t>
            </w:r>
          </w:p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A572B" w:rsidRPr="00343B21" w:rsidTr="00506AE4">
        <w:tc>
          <w:tcPr>
            <w:tcW w:w="668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:rsidR="004A572B" w:rsidRDefault="004A572B" w:rsidP="0014614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несчастных случаев и травматизма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производстве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572B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Отсутствует - 5</w:t>
            </w:r>
          </w:p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Наличие - 0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</w:tr>
      <w:tr w:rsidR="004A572B" w:rsidRPr="00343B21" w:rsidTr="00506AE4">
        <w:tc>
          <w:tcPr>
            <w:tcW w:w="668" w:type="dxa"/>
            <w:vMerge w:val="restart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275" w:type="dxa"/>
            <w:vMerge w:val="restart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Соблюдение финансовой дисциплины</w:t>
            </w:r>
          </w:p>
        </w:tc>
        <w:tc>
          <w:tcPr>
            <w:tcW w:w="3006" w:type="dxa"/>
            <w:shd w:val="clear" w:color="auto" w:fill="auto"/>
          </w:tcPr>
          <w:p w:rsidR="004A572B" w:rsidRPr="00343B21" w:rsidRDefault="00EC7CBE" w:rsidP="00506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Соблюдение сроков и порядка предоставления Плана финансово-хозяйственной деятельности Учреждения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572B" w:rsidRPr="00343B21" w:rsidRDefault="004A572B" w:rsidP="004A572B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 баллов. При наличии замечаний - снижение на 1 балл за каждое замечание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2B" w:rsidRPr="00343B21" w:rsidRDefault="006A24B0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72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A572B" w:rsidRPr="00343B21" w:rsidTr="00506AE4">
        <w:tc>
          <w:tcPr>
            <w:tcW w:w="668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</w:tcPr>
          <w:p w:rsidR="004A572B" w:rsidRPr="00343B21" w:rsidRDefault="004A572B" w:rsidP="00506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отчетном периоде </w:t>
            </w: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просроченной дебиторской и кредиторской задолженности 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2B" w:rsidRPr="00343B21" w:rsidRDefault="006A24B0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A572B" w:rsidRPr="00343B2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A572B" w:rsidRPr="00343B21" w:rsidTr="00506AE4">
        <w:tc>
          <w:tcPr>
            <w:tcW w:w="668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5" w:type="dxa"/>
            <w:vMerge/>
            <w:shd w:val="clear" w:color="auto" w:fill="auto"/>
            <w:vAlign w:val="center"/>
          </w:tcPr>
          <w:p w:rsidR="004A572B" w:rsidRPr="00343B21" w:rsidRDefault="004A572B" w:rsidP="00506AE4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6" w:type="dxa"/>
            <w:shd w:val="clear" w:color="auto" w:fill="auto"/>
          </w:tcPr>
          <w:p w:rsidR="004A572B" w:rsidRPr="00343B21" w:rsidRDefault="004A572B" w:rsidP="00506AE4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задолженности по заработной плате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A572B" w:rsidRDefault="004A572B" w:rsidP="004A57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Отсутствует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4A572B" w:rsidRPr="00343B21" w:rsidRDefault="004A572B" w:rsidP="004A572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Наличие – 0 баллов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572B" w:rsidRDefault="004A572B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146148" w:rsidRPr="00343B21" w:rsidTr="00506AE4">
        <w:tc>
          <w:tcPr>
            <w:tcW w:w="9747" w:type="dxa"/>
            <w:gridSpan w:val="5"/>
            <w:shd w:val="clear" w:color="auto" w:fill="auto"/>
            <w:vAlign w:val="center"/>
          </w:tcPr>
          <w:p w:rsidR="00146148" w:rsidRPr="00343B21" w:rsidRDefault="00146148" w:rsidP="00506AE4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B21">
              <w:rPr>
                <w:rFonts w:ascii="Times New Roman" w:hAnsi="Times New Roman" w:cs="Times New Roman"/>
                <w:sz w:val="26"/>
                <w:szCs w:val="26"/>
              </w:rPr>
              <w:t>Совокупность всех критериев по двум разделам (итого): 100 баллов</w:t>
            </w:r>
          </w:p>
        </w:tc>
      </w:tr>
    </w:tbl>
    <w:p w:rsidR="00146148" w:rsidRPr="00343B21" w:rsidRDefault="00146148" w:rsidP="00146148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color w:val="FF0000"/>
          <w:sz w:val="26"/>
          <w:szCs w:val="26"/>
          <w:lang w:eastAsia="ru-RU"/>
        </w:rPr>
      </w:pPr>
    </w:p>
    <w:p w:rsidR="00146148" w:rsidRPr="00697E0F" w:rsidRDefault="00146148" w:rsidP="00146148">
      <w:pPr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sectPr w:rsidR="00146148" w:rsidRPr="00697E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148" w:rsidRDefault="00146148" w:rsidP="00146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6E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6F8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146148" w:rsidRDefault="00146148" w:rsidP="00146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146148" w:rsidRDefault="00146148" w:rsidP="00146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146148" w:rsidRDefault="00146148" w:rsidP="00146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 №__________</w:t>
      </w:r>
    </w:p>
    <w:p w:rsidR="00146148" w:rsidRPr="00866EB5" w:rsidRDefault="00146148" w:rsidP="00146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148" w:rsidRPr="00866EB5" w:rsidRDefault="00146148" w:rsidP="00146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6148" w:rsidRPr="00866EB5" w:rsidRDefault="008F23A8" w:rsidP="00146148">
      <w:pPr>
        <w:tabs>
          <w:tab w:val="left" w:pos="2835"/>
        </w:tabs>
        <w:suppressAutoHyphens/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>Отчет</w:t>
      </w:r>
    </w:p>
    <w:p w:rsidR="002D58F9" w:rsidRDefault="00146148" w:rsidP="001461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 выполнении целевых показателей эффективности работы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У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чреждения и деятельности 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>руководител</w:t>
      </w:r>
      <w:r w:rsidR="00432702">
        <w:rPr>
          <w:rFonts w:ascii="Times New Roman" w:eastAsia="Calibri" w:hAnsi="Times New Roman" w:cs="Times New Roman"/>
          <w:sz w:val="26"/>
          <w:szCs w:val="26"/>
          <w:lang w:eastAsia="ar-SA"/>
        </w:rPr>
        <w:t>я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146148" w:rsidRPr="00866EB5" w:rsidRDefault="002D58F9" w:rsidP="001461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М</w:t>
      </w:r>
      <w:r w:rsidRPr="002D58F9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униципальное автономное учреждение</w:t>
      </w: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="00146148" w:rsidRPr="00A013C3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«</w:t>
      </w:r>
      <w:r w:rsidR="0093448A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Р</w:t>
      </w:r>
      <w:r w:rsidR="00146148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едакция газеты «Когалымский вестник»</w:t>
      </w:r>
      <w:r w:rsidR="0014614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__</w:t>
      </w:r>
    </w:p>
    <w:p w:rsidR="00146148" w:rsidRPr="00866EB5" w:rsidRDefault="00146148" w:rsidP="00146148">
      <w:pPr>
        <w:suppressAutoHyphens/>
        <w:spacing w:after="0" w:line="240" w:lineRule="exact"/>
        <w:ind w:left="708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>за_</w:t>
      </w:r>
      <w:r w:rsidRPr="00866EB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_____________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201</w:t>
      </w:r>
      <w:r w:rsidRPr="00866EB5">
        <w:rPr>
          <w:rFonts w:ascii="Times New Roman" w:eastAsia="Calibri" w:hAnsi="Times New Roman" w:cs="Times New Roman"/>
          <w:sz w:val="26"/>
          <w:szCs w:val="26"/>
          <w:u w:val="single"/>
          <w:lang w:eastAsia="ar-SA"/>
        </w:rPr>
        <w:t>__</w:t>
      </w:r>
      <w:r w:rsidRPr="00866EB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года</w:t>
      </w:r>
    </w:p>
    <w:p w:rsidR="00146148" w:rsidRPr="00866EB5" w:rsidRDefault="00146148" w:rsidP="00146148">
      <w:pPr>
        <w:spacing w:after="20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66EB5">
        <w:rPr>
          <w:rFonts w:ascii="Times New Roman" w:eastAsia="Calibri" w:hAnsi="Times New Roman" w:cs="Times New Roman"/>
          <w:sz w:val="26"/>
          <w:szCs w:val="26"/>
        </w:rPr>
        <w:t>(отчетный период)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3"/>
        <w:gridCol w:w="1899"/>
        <w:gridCol w:w="1842"/>
        <w:gridCol w:w="1561"/>
        <w:gridCol w:w="1982"/>
        <w:gridCol w:w="1701"/>
        <w:gridCol w:w="1701"/>
        <w:gridCol w:w="1876"/>
      </w:tblGrid>
      <w:tr w:rsidR="00146148" w:rsidRPr="00866EB5" w:rsidTr="00832C6A">
        <w:trPr>
          <w:tblHeader/>
        </w:trPr>
        <w:tc>
          <w:tcPr>
            <w:tcW w:w="621" w:type="pct"/>
            <w:vMerge w:val="restar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662" w:type="pct"/>
            <w:vMerge w:val="restar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Источник информации о выполнении показателя</w:t>
            </w:r>
          </w:p>
        </w:tc>
        <w:tc>
          <w:tcPr>
            <w:tcW w:w="1186" w:type="pct"/>
            <w:gridSpan w:val="2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Оценка</w:t>
            </w:r>
          </w:p>
          <w:p w:rsidR="00146148" w:rsidRPr="009E2985" w:rsidRDefault="00146148" w:rsidP="00456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 xml:space="preserve">эффективности работы </w:t>
            </w:r>
            <w:r w:rsidR="0045609B">
              <w:rPr>
                <w:rFonts w:ascii="Times New Roman" w:eastAsia="Calibri" w:hAnsi="Times New Roman" w:cs="Times New Roman"/>
              </w:rPr>
              <w:t>руководителя</w:t>
            </w:r>
            <w:r w:rsidRPr="009E2985">
              <w:rPr>
                <w:rFonts w:ascii="Times New Roman" w:eastAsia="Calibri" w:hAnsi="Times New Roman" w:cs="Times New Roman"/>
              </w:rPr>
              <w:t xml:space="preserve"> Учреждения</w:t>
            </w:r>
          </w:p>
        </w:tc>
        <w:tc>
          <w:tcPr>
            <w:tcW w:w="1284" w:type="pct"/>
            <w:gridSpan w:val="2"/>
            <w:vMerge w:val="restar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Согласование показателя с руководителями структурных подразделений Администрации города Когалыма</w:t>
            </w:r>
          </w:p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3" w:type="pct"/>
            <w:vMerge w:val="restar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Подпись/</w:t>
            </w:r>
          </w:p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Расшифровка</w:t>
            </w:r>
          </w:p>
        </w:tc>
        <w:tc>
          <w:tcPr>
            <w:tcW w:w="654" w:type="pct"/>
            <w:vMerge w:val="restar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146148" w:rsidRPr="00866EB5" w:rsidTr="00832C6A">
        <w:trPr>
          <w:tblHeader/>
        </w:trPr>
        <w:tc>
          <w:tcPr>
            <w:tcW w:w="621" w:type="pct"/>
            <w:vMerge/>
          </w:tcPr>
          <w:p w:rsidR="00146148" w:rsidRPr="009E2985" w:rsidRDefault="00146148" w:rsidP="00506A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62" w:type="pct"/>
            <w:vMerge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642" w:type="pct"/>
          </w:tcPr>
          <w:p w:rsidR="00146148" w:rsidRPr="009E2985" w:rsidRDefault="0045609B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фактическое значение показателя</w:t>
            </w:r>
          </w:p>
        </w:tc>
        <w:tc>
          <w:tcPr>
            <w:tcW w:w="544" w:type="pct"/>
          </w:tcPr>
          <w:p w:rsidR="00146148" w:rsidRPr="009E2985" w:rsidRDefault="0045609B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Оценка достижения показателя, баллы</w:t>
            </w:r>
          </w:p>
        </w:tc>
        <w:tc>
          <w:tcPr>
            <w:tcW w:w="1284" w:type="pct"/>
            <w:gridSpan w:val="2"/>
            <w:vMerge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593" w:type="pct"/>
            <w:vMerge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  <w:vMerge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46148" w:rsidRPr="00866EB5" w:rsidTr="00506AE4">
        <w:tc>
          <w:tcPr>
            <w:tcW w:w="5000" w:type="pct"/>
            <w:gridSpan w:val="8"/>
          </w:tcPr>
          <w:p w:rsidR="00146148" w:rsidRPr="009E2985" w:rsidRDefault="00146148" w:rsidP="00506AE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Соблюдение исполнительной отчетной дисциплины</w:t>
            </w:r>
          </w:p>
        </w:tc>
      </w:tr>
      <w:tr w:rsidR="00146148" w:rsidRPr="00866EB5" w:rsidTr="00832C6A">
        <w:tc>
          <w:tcPr>
            <w:tcW w:w="621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 xml:space="preserve">Исполнение Учреждением муниципального задания </w:t>
            </w:r>
          </w:p>
        </w:tc>
        <w:tc>
          <w:tcPr>
            <w:tcW w:w="662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Отчет об исполнении муниципального задания за предыдущий квартал</w:t>
            </w:r>
          </w:p>
        </w:tc>
        <w:tc>
          <w:tcPr>
            <w:tcW w:w="642" w:type="pct"/>
          </w:tcPr>
          <w:p w:rsidR="00146148" w:rsidRPr="009E2985" w:rsidRDefault="0045609B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процентах</w:t>
            </w:r>
            <w:r w:rsidR="00146148" w:rsidRPr="009E2985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54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146148" w:rsidRPr="009E2985" w:rsidRDefault="00E25396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Сектор пресс-службы</w:t>
            </w:r>
          </w:p>
        </w:tc>
        <w:tc>
          <w:tcPr>
            <w:tcW w:w="593" w:type="pct"/>
            <w:vAlign w:val="center"/>
          </w:tcPr>
          <w:p w:rsidR="00146148" w:rsidRPr="009E2985" w:rsidRDefault="00E25396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Заведующий сектором пресс-службы</w:t>
            </w:r>
          </w:p>
        </w:tc>
        <w:tc>
          <w:tcPr>
            <w:tcW w:w="593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46148" w:rsidRPr="00866EB5" w:rsidTr="00832C6A">
        <w:tc>
          <w:tcPr>
            <w:tcW w:w="621" w:type="pct"/>
          </w:tcPr>
          <w:p w:rsidR="00146148" w:rsidRPr="009E2985" w:rsidRDefault="00AA35A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Исполнение протокольных решений заседаний комиссий; качественное и своевременное выполнение правовых актов, </w:t>
            </w:r>
            <w:r>
              <w:rPr>
                <w:rFonts w:ascii="Times New Roman" w:eastAsia="Calibri" w:hAnsi="Times New Roman" w:cs="Times New Roman"/>
              </w:rPr>
              <w:lastRenderedPageBreak/>
              <w:t>регламентирующих отношения в сфере деятельности Учреждения</w:t>
            </w:r>
          </w:p>
        </w:tc>
        <w:tc>
          <w:tcPr>
            <w:tcW w:w="662" w:type="pct"/>
          </w:tcPr>
          <w:p w:rsidR="00146148" w:rsidRPr="009E2985" w:rsidRDefault="006A24B0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Служебные записки от структурных подразделений о несвоевременном выполнении правовых актов, регламентирующих отношения в </w:t>
            </w:r>
            <w:r>
              <w:rPr>
                <w:rFonts w:ascii="Times New Roman" w:eastAsia="Calibri" w:hAnsi="Times New Roman" w:cs="Times New Roman"/>
              </w:rPr>
              <w:lastRenderedPageBreak/>
              <w:t>сфере деятельности Учреждения</w:t>
            </w:r>
          </w:p>
        </w:tc>
        <w:tc>
          <w:tcPr>
            <w:tcW w:w="642" w:type="pct"/>
          </w:tcPr>
          <w:p w:rsidR="00146148" w:rsidRPr="009E2985" w:rsidRDefault="00E25396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Отсутствует/ имеется</w:t>
            </w:r>
          </w:p>
        </w:tc>
        <w:tc>
          <w:tcPr>
            <w:tcW w:w="54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146148" w:rsidRPr="009E2985" w:rsidRDefault="006A24B0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Сектор пресс-службы</w:t>
            </w:r>
          </w:p>
        </w:tc>
        <w:tc>
          <w:tcPr>
            <w:tcW w:w="593" w:type="pct"/>
            <w:vAlign w:val="center"/>
          </w:tcPr>
          <w:p w:rsidR="00146148" w:rsidRPr="009E2985" w:rsidRDefault="006A24B0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Заведующий сектором пресс-службы</w:t>
            </w:r>
          </w:p>
        </w:tc>
        <w:tc>
          <w:tcPr>
            <w:tcW w:w="593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46148" w:rsidRPr="00866EB5" w:rsidTr="00832C6A">
        <w:tc>
          <w:tcPr>
            <w:tcW w:w="621" w:type="pct"/>
            <w:vMerge w:val="restart"/>
          </w:tcPr>
          <w:p w:rsidR="00146148" w:rsidRPr="009E2985" w:rsidRDefault="00AA35A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нарушений сроков и замечаний по результатам предоставления годовой и квартальной отчетности Учреждения, налоговой и статистической отчетности и отчетности во внебюджетные фонды</w:t>
            </w:r>
          </w:p>
        </w:tc>
        <w:tc>
          <w:tcPr>
            <w:tcW w:w="662" w:type="pct"/>
            <w:vMerge w:val="restar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Служебные записки о несвоевременном и некачественном предоставлении установленной отчетности, информации по оперативным запросам</w:t>
            </w:r>
          </w:p>
        </w:tc>
        <w:tc>
          <w:tcPr>
            <w:tcW w:w="642" w:type="pct"/>
          </w:tcPr>
          <w:p w:rsidR="00146148" w:rsidRPr="009E2985" w:rsidRDefault="0045609B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54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Отдел учёта и отчетности финансового обеспечения</w:t>
            </w:r>
          </w:p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Администрации города Когалыма МКУ «УОДОМС»</w:t>
            </w:r>
          </w:p>
        </w:tc>
        <w:tc>
          <w:tcPr>
            <w:tcW w:w="593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593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46148" w:rsidRPr="00866EB5" w:rsidTr="00832C6A">
        <w:tc>
          <w:tcPr>
            <w:tcW w:w="621" w:type="pct"/>
            <w:vMerge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2" w:type="pct"/>
            <w:vMerge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</w:tcPr>
          <w:p w:rsidR="00146148" w:rsidRPr="009E2985" w:rsidRDefault="0045609B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54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Отдел финансово-экономического обеспечения и контроля</w:t>
            </w:r>
          </w:p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</w:rPr>
              <w:t>Администрации города Когалыма</w:t>
            </w:r>
          </w:p>
        </w:tc>
        <w:tc>
          <w:tcPr>
            <w:tcW w:w="593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593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AA35AA" w:rsidRPr="00866EB5" w:rsidTr="00832C6A">
        <w:tc>
          <w:tcPr>
            <w:tcW w:w="621" w:type="pct"/>
          </w:tcPr>
          <w:p w:rsidR="00AA35AA" w:rsidRPr="009E2985" w:rsidRDefault="00AA35A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Отсутствие несчастных случаев и травматизма на производстве</w:t>
            </w:r>
          </w:p>
        </w:tc>
        <w:tc>
          <w:tcPr>
            <w:tcW w:w="662" w:type="pct"/>
          </w:tcPr>
          <w:p w:rsidR="00AA35AA" w:rsidRPr="009E2985" w:rsidRDefault="0093448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Извещение о несчастном случае</w:t>
            </w:r>
          </w:p>
        </w:tc>
        <w:tc>
          <w:tcPr>
            <w:tcW w:w="642" w:type="pct"/>
          </w:tcPr>
          <w:p w:rsidR="00AA35AA" w:rsidRPr="009E2985" w:rsidRDefault="0045609B" w:rsidP="00AA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544" w:type="pct"/>
          </w:tcPr>
          <w:p w:rsidR="00AA35AA" w:rsidRPr="009E2985" w:rsidRDefault="00AA35A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AA35AA" w:rsidRPr="009E2985" w:rsidRDefault="00AA35A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</w:rPr>
              <w:t>Управление экономики Администрации города Когалыма</w:t>
            </w:r>
          </w:p>
        </w:tc>
        <w:tc>
          <w:tcPr>
            <w:tcW w:w="593" w:type="pct"/>
            <w:vAlign w:val="center"/>
          </w:tcPr>
          <w:p w:rsidR="00AA35AA" w:rsidRPr="009E2985" w:rsidRDefault="00AA35AA" w:rsidP="00AA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Начальник</w:t>
            </w:r>
          </w:p>
          <w:p w:rsidR="00AA35AA" w:rsidRPr="009E2985" w:rsidRDefault="00AA35AA" w:rsidP="00AA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Управления</w:t>
            </w:r>
          </w:p>
        </w:tc>
        <w:tc>
          <w:tcPr>
            <w:tcW w:w="593" w:type="pct"/>
          </w:tcPr>
          <w:p w:rsidR="00AA35AA" w:rsidRPr="009E2985" w:rsidRDefault="00AA35A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AA35AA" w:rsidRPr="00866EB5" w:rsidRDefault="00AA35A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46148" w:rsidRPr="00866EB5" w:rsidTr="00506AE4">
        <w:tc>
          <w:tcPr>
            <w:tcW w:w="5000" w:type="pct"/>
            <w:gridSpan w:val="8"/>
          </w:tcPr>
          <w:p w:rsidR="00146148" w:rsidRPr="009E2985" w:rsidRDefault="00146148" w:rsidP="00506AE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Соблюдение финансовой дисциплины</w:t>
            </w:r>
          </w:p>
        </w:tc>
      </w:tr>
      <w:tr w:rsidR="00146148" w:rsidRPr="00866EB5" w:rsidTr="00832C6A">
        <w:tc>
          <w:tcPr>
            <w:tcW w:w="621" w:type="pct"/>
            <w:vMerge w:val="restar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 xml:space="preserve">Соблюдение сроков и </w:t>
            </w:r>
            <w:r w:rsidRPr="009E2985">
              <w:rPr>
                <w:rFonts w:ascii="Times New Roman" w:eastAsia="Calibri" w:hAnsi="Times New Roman" w:cs="Times New Roman"/>
              </w:rPr>
              <w:lastRenderedPageBreak/>
              <w:t>порядка предоставления Плана финансово-хозяйственной деятельности Учреждения в отдел финансово-экономического обеспечения и контроля Администрации города Когалыма в соответствии с доведенными лимитами</w:t>
            </w:r>
          </w:p>
        </w:tc>
        <w:tc>
          <w:tcPr>
            <w:tcW w:w="662" w:type="pct"/>
            <w:vMerge w:val="restart"/>
          </w:tcPr>
          <w:p w:rsidR="00146148" w:rsidRPr="009E2985" w:rsidRDefault="00146148" w:rsidP="00F85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lastRenderedPageBreak/>
              <w:t xml:space="preserve">Отсутствие служебных </w:t>
            </w:r>
            <w:r w:rsidRPr="009E2985">
              <w:rPr>
                <w:rFonts w:ascii="Times New Roman" w:eastAsia="Calibri" w:hAnsi="Times New Roman" w:cs="Times New Roman"/>
              </w:rPr>
              <w:lastRenderedPageBreak/>
              <w:t>записок от должностных лиц о нарушении сроков и порядка предоставления Плана финансово-хозяйственной деятельности Учреждения</w:t>
            </w:r>
          </w:p>
        </w:tc>
        <w:tc>
          <w:tcPr>
            <w:tcW w:w="642" w:type="pct"/>
          </w:tcPr>
          <w:p w:rsidR="00146148" w:rsidRPr="009E2985" w:rsidRDefault="0045609B" w:rsidP="00AA35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Отсутствует/ имеется</w:t>
            </w:r>
          </w:p>
        </w:tc>
        <w:tc>
          <w:tcPr>
            <w:tcW w:w="54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146148" w:rsidRPr="009E2985" w:rsidRDefault="00F8569D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Сектор пресс-службы</w:t>
            </w:r>
          </w:p>
        </w:tc>
        <w:tc>
          <w:tcPr>
            <w:tcW w:w="593" w:type="pct"/>
            <w:vAlign w:val="center"/>
          </w:tcPr>
          <w:p w:rsidR="00146148" w:rsidRPr="009E2985" w:rsidRDefault="00F8569D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Заведующий сектором</w:t>
            </w:r>
          </w:p>
        </w:tc>
        <w:tc>
          <w:tcPr>
            <w:tcW w:w="593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46148" w:rsidRPr="00866EB5" w:rsidTr="00832C6A">
        <w:tc>
          <w:tcPr>
            <w:tcW w:w="621" w:type="pct"/>
            <w:vMerge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</w:tcPr>
          <w:p w:rsidR="00146148" w:rsidRPr="009E2985" w:rsidRDefault="0045609B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54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Отдел финансово-экономического обеспечения и контроля</w:t>
            </w:r>
          </w:p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</w:rPr>
              <w:t>Администрации города Когалыма</w:t>
            </w:r>
          </w:p>
        </w:tc>
        <w:tc>
          <w:tcPr>
            <w:tcW w:w="593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593" w:type="pct"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4" w:type="pct"/>
          </w:tcPr>
          <w:p w:rsidR="00146148" w:rsidRPr="00866EB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146148" w:rsidRPr="009E2985" w:rsidTr="00832C6A">
        <w:tc>
          <w:tcPr>
            <w:tcW w:w="621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lastRenderedPageBreak/>
              <w:t>Отсутствие в отчетном периоде просроченной дебиторской и кредиторской задолженности</w:t>
            </w:r>
          </w:p>
        </w:tc>
        <w:tc>
          <w:tcPr>
            <w:tcW w:w="662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 xml:space="preserve">Отчет «Сведения о состоянии дебиторской и кредиторской задолженности» за предыдущий квартал, данные программы 1С Предприятие о наличии просроченной </w:t>
            </w:r>
            <w:r w:rsidRPr="009E2985">
              <w:rPr>
                <w:rFonts w:ascii="Times New Roman" w:eastAsia="Calibri" w:hAnsi="Times New Roman" w:cs="Times New Roman"/>
              </w:rPr>
              <w:lastRenderedPageBreak/>
              <w:t>дебиторской, кредиторской задолженности на отчетную дату</w:t>
            </w:r>
          </w:p>
        </w:tc>
        <w:tc>
          <w:tcPr>
            <w:tcW w:w="642" w:type="pct"/>
          </w:tcPr>
          <w:p w:rsidR="00146148" w:rsidRPr="009E2985" w:rsidRDefault="0045609B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Отсутствует/ имеется</w:t>
            </w:r>
          </w:p>
        </w:tc>
        <w:tc>
          <w:tcPr>
            <w:tcW w:w="54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Отдел учёта и отчетности финансового обеспечения</w:t>
            </w:r>
          </w:p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Администрации города Когалыма МКУ «УОДОМС»</w:t>
            </w:r>
          </w:p>
        </w:tc>
        <w:tc>
          <w:tcPr>
            <w:tcW w:w="593" w:type="pct"/>
            <w:vAlign w:val="center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593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146148" w:rsidRPr="009E2985" w:rsidRDefault="00146148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832C6A" w:rsidRPr="009E2985" w:rsidTr="00832C6A">
        <w:tc>
          <w:tcPr>
            <w:tcW w:w="621" w:type="pct"/>
          </w:tcPr>
          <w:p w:rsidR="00832C6A" w:rsidRPr="009E2985" w:rsidRDefault="00832C6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Отсутствие задолженности по заработной плате</w:t>
            </w:r>
          </w:p>
        </w:tc>
        <w:tc>
          <w:tcPr>
            <w:tcW w:w="662" w:type="pct"/>
          </w:tcPr>
          <w:p w:rsidR="00832C6A" w:rsidRPr="009E2985" w:rsidRDefault="00832C6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</w:tcPr>
          <w:p w:rsidR="00832C6A" w:rsidRPr="009E2985" w:rsidRDefault="0045609B" w:rsidP="0083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Отсутствует/ имеется</w:t>
            </w:r>
          </w:p>
        </w:tc>
        <w:tc>
          <w:tcPr>
            <w:tcW w:w="544" w:type="pct"/>
          </w:tcPr>
          <w:p w:rsidR="00832C6A" w:rsidRPr="009E2985" w:rsidRDefault="00832C6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1" w:type="pct"/>
            <w:vAlign w:val="center"/>
          </w:tcPr>
          <w:p w:rsidR="00832C6A" w:rsidRPr="009E2985" w:rsidRDefault="00832C6A" w:rsidP="0083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Отдел финансово-экономического обеспечения и контроля</w:t>
            </w:r>
          </w:p>
          <w:p w:rsidR="00832C6A" w:rsidRPr="009E2985" w:rsidRDefault="00832C6A" w:rsidP="00832C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</w:rPr>
              <w:t>Администрации города Когалыма</w:t>
            </w:r>
          </w:p>
        </w:tc>
        <w:tc>
          <w:tcPr>
            <w:tcW w:w="593" w:type="pct"/>
            <w:vAlign w:val="center"/>
          </w:tcPr>
          <w:p w:rsidR="00832C6A" w:rsidRPr="009E2985" w:rsidRDefault="00832C6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E2985">
              <w:rPr>
                <w:rFonts w:ascii="Times New Roman" w:eastAsia="Calibri" w:hAnsi="Times New Roman" w:cs="Times New Roman"/>
                <w:bCs/>
              </w:rPr>
              <w:t>Начальник отдела</w:t>
            </w:r>
          </w:p>
        </w:tc>
        <w:tc>
          <w:tcPr>
            <w:tcW w:w="593" w:type="pct"/>
          </w:tcPr>
          <w:p w:rsidR="00832C6A" w:rsidRPr="009E2985" w:rsidRDefault="00832C6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654" w:type="pct"/>
          </w:tcPr>
          <w:p w:rsidR="00832C6A" w:rsidRPr="009E2985" w:rsidRDefault="00832C6A" w:rsidP="00506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46148" w:rsidRPr="00866EB5" w:rsidTr="00832C6A">
        <w:tc>
          <w:tcPr>
            <w:tcW w:w="1283" w:type="pct"/>
            <w:gridSpan w:val="2"/>
          </w:tcPr>
          <w:p w:rsidR="00146148" w:rsidRPr="009E2985" w:rsidRDefault="00146148" w:rsidP="00506A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2985">
              <w:rPr>
                <w:rFonts w:ascii="Times New Roman" w:eastAsia="Calibri" w:hAnsi="Times New Roman" w:cs="Times New Roman"/>
              </w:rPr>
              <w:t>Итого количество баллов:</w:t>
            </w:r>
          </w:p>
        </w:tc>
        <w:tc>
          <w:tcPr>
            <w:tcW w:w="642" w:type="pct"/>
          </w:tcPr>
          <w:p w:rsidR="00146148" w:rsidRPr="009E2985" w:rsidRDefault="0045609B" w:rsidP="00506A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44" w:type="pct"/>
            <w:vAlign w:val="center"/>
          </w:tcPr>
          <w:p w:rsidR="00146148" w:rsidRPr="00866EB5" w:rsidRDefault="00146148" w:rsidP="00506A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146148" w:rsidRPr="0045609B" w:rsidRDefault="0045609B" w:rsidP="00456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09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93" w:type="pct"/>
          </w:tcPr>
          <w:p w:rsidR="00146148" w:rsidRPr="0045609B" w:rsidRDefault="0045609B" w:rsidP="0045609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5609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93" w:type="pct"/>
          </w:tcPr>
          <w:p w:rsidR="00146148" w:rsidRPr="0045609B" w:rsidRDefault="0045609B" w:rsidP="00456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09B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654" w:type="pct"/>
          </w:tcPr>
          <w:p w:rsidR="00146148" w:rsidRPr="0045609B" w:rsidRDefault="0045609B" w:rsidP="0045609B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09B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146148" w:rsidRPr="00866EB5" w:rsidRDefault="00146148" w:rsidP="0014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148" w:rsidRPr="00866EB5" w:rsidRDefault="00146148" w:rsidP="0014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>Отчёт предоставил:</w:t>
      </w:r>
    </w:p>
    <w:p w:rsidR="00146148" w:rsidRPr="00866EB5" w:rsidRDefault="00146148" w:rsidP="0014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Директор муниципального автономного учреждения </w:t>
      </w:r>
    </w:p>
    <w:p w:rsidR="00146148" w:rsidRPr="00866EB5" w:rsidRDefault="00146148" w:rsidP="0093448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BD7ACD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="009344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едакция газеты «Когалымский </w:t>
      </w:r>
      <w:proofErr w:type="gramStart"/>
      <w:r w:rsidR="0093448A">
        <w:rPr>
          <w:rFonts w:ascii="Times New Roman" w:eastAsia="Calibri" w:hAnsi="Times New Roman" w:cs="Times New Roman"/>
          <w:sz w:val="24"/>
          <w:szCs w:val="24"/>
          <w:lang w:eastAsia="ru-RU"/>
        </w:rPr>
        <w:t>вестник»</w:t>
      </w:r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______________   /________________________________/     </w:t>
      </w:r>
    </w:p>
    <w:p w:rsidR="00146148" w:rsidRPr="00866EB5" w:rsidRDefault="00146148" w:rsidP="0014614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(</w:t>
      </w:r>
      <w:proofErr w:type="gramStart"/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(расшифровка подписи)</w:t>
      </w:r>
    </w:p>
    <w:p w:rsidR="00146148" w:rsidRPr="00866EB5" w:rsidRDefault="00146148" w:rsidP="00146148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М.П.</w:t>
      </w:r>
      <w:r w:rsidRPr="00866EB5">
        <w:rPr>
          <w:rFonts w:ascii="Calibri" w:eastAsia="Calibri" w:hAnsi="Calibri" w:cs="Times New Roman"/>
          <w:sz w:val="24"/>
          <w:szCs w:val="24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A91A51" w:rsidRPr="007E017B" w:rsidRDefault="00A91A51" w:rsidP="00A91A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91A51" w:rsidRPr="007A201B" w:rsidRDefault="00A91A51" w:rsidP="0014614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A91A51" w:rsidRPr="007A201B" w:rsidSect="001461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66F48"/>
    <w:multiLevelType w:val="multilevel"/>
    <w:tmpl w:val="09B01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E7E5479"/>
    <w:multiLevelType w:val="hybridMultilevel"/>
    <w:tmpl w:val="7D9EB836"/>
    <w:lvl w:ilvl="0" w:tplc="85C8D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6F127D"/>
    <w:multiLevelType w:val="hybridMultilevel"/>
    <w:tmpl w:val="12861AEE"/>
    <w:lvl w:ilvl="0" w:tplc="100AD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8C"/>
    <w:rsid w:val="00100423"/>
    <w:rsid w:val="00146148"/>
    <w:rsid w:val="001B1A5D"/>
    <w:rsid w:val="00241351"/>
    <w:rsid w:val="002A27A6"/>
    <w:rsid w:val="002D58F9"/>
    <w:rsid w:val="00354DA5"/>
    <w:rsid w:val="00432702"/>
    <w:rsid w:val="0045609B"/>
    <w:rsid w:val="004A572B"/>
    <w:rsid w:val="00546572"/>
    <w:rsid w:val="0058233A"/>
    <w:rsid w:val="005D328C"/>
    <w:rsid w:val="006A24B0"/>
    <w:rsid w:val="006B6F8E"/>
    <w:rsid w:val="006E1D30"/>
    <w:rsid w:val="007A201B"/>
    <w:rsid w:val="00832C6A"/>
    <w:rsid w:val="00842ACD"/>
    <w:rsid w:val="008B7823"/>
    <w:rsid w:val="008F23A8"/>
    <w:rsid w:val="0093448A"/>
    <w:rsid w:val="009A1064"/>
    <w:rsid w:val="00A16DB2"/>
    <w:rsid w:val="00A51DFF"/>
    <w:rsid w:val="00A91A51"/>
    <w:rsid w:val="00AA35AA"/>
    <w:rsid w:val="00B20D64"/>
    <w:rsid w:val="00B328E7"/>
    <w:rsid w:val="00BD7ACD"/>
    <w:rsid w:val="00D31939"/>
    <w:rsid w:val="00E25396"/>
    <w:rsid w:val="00E25DF9"/>
    <w:rsid w:val="00EC7CBE"/>
    <w:rsid w:val="00F8569D"/>
    <w:rsid w:val="00FD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D15D9-DBE0-4941-8DEC-2E9AB3D5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23"/>
    <w:pPr>
      <w:ind w:left="720"/>
      <w:contextualSpacing/>
    </w:pPr>
  </w:style>
  <w:style w:type="paragraph" w:customStyle="1" w:styleId="ConsPlusNormal">
    <w:name w:val="ConsPlusNormal"/>
    <w:rsid w:val="00D31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39"/>
    <w:rsid w:val="00D3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Прытова Наталья Михайловна</dc:creator>
  <cp:keywords/>
  <dc:description/>
  <cp:lastModifiedBy>Прытова Наталья Михайловна</cp:lastModifiedBy>
  <cp:revision>26</cp:revision>
  <cp:lastPrinted>2016-01-18T06:05:00Z</cp:lastPrinted>
  <dcterms:created xsi:type="dcterms:W3CDTF">2016-01-14T09:15:00Z</dcterms:created>
  <dcterms:modified xsi:type="dcterms:W3CDTF">2016-02-04T09:48:00Z</dcterms:modified>
</cp:coreProperties>
</file>