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BE" w:rsidRPr="006B681B" w:rsidRDefault="00AA01BE" w:rsidP="0022054C">
      <w:pPr>
        <w:spacing w:after="0" w:line="240" w:lineRule="auto"/>
        <w:jc w:val="center"/>
        <w:rPr>
          <w:rFonts w:ascii="Times New Roman" w:hAnsi="Times New Roman" w:cs="Times New Roman"/>
          <w:sz w:val="20"/>
          <w:szCs w:val="20"/>
        </w:rPr>
      </w:pPr>
      <w:r w:rsidRPr="006B681B">
        <w:rPr>
          <w:rFonts w:ascii="Times New Roman" w:hAnsi="Times New Roman" w:cs="Times New Roman"/>
          <w:i/>
          <w:sz w:val="24"/>
          <w:szCs w:val="24"/>
        </w:rPr>
        <w:t>Управление экономики Администрации города Когалыма</w:t>
      </w:r>
      <w:r w:rsidRPr="006B681B">
        <w:rPr>
          <w:rFonts w:ascii="Times New Roman" w:hAnsi="Times New Roman" w:cs="Times New Roman"/>
          <w:sz w:val="20"/>
          <w:szCs w:val="20"/>
        </w:rPr>
        <w:t xml:space="preserve"> ________________________________________________________________________________________</w:t>
      </w:r>
    </w:p>
    <w:p w:rsidR="00AA01BE" w:rsidRPr="006B681B" w:rsidRDefault="00AA01BE" w:rsidP="0022054C">
      <w:pPr>
        <w:autoSpaceDE w:val="0"/>
        <w:autoSpaceDN w:val="0"/>
        <w:spacing w:after="0" w:line="240" w:lineRule="auto"/>
        <w:jc w:val="center"/>
        <w:rPr>
          <w:rFonts w:ascii="Times New Roman" w:hAnsi="Times New Roman" w:cs="Times New Roman"/>
          <w:b/>
          <w:bCs/>
          <w:i/>
          <w:sz w:val="28"/>
          <w:szCs w:val="28"/>
        </w:rPr>
      </w:pPr>
      <w:r w:rsidRPr="006B681B">
        <w:rPr>
          <w:rFonts w:ascii="Times New Roman" w:hAnsi="Times New Roman" w:cs="Times New Roman"/>
          <w:b/>
          <w:bCs/>
          <w:i/>
          <w:sz w:val="28"/>
          <w:szCs w:val="28"/>
        </w:rPr>
        <w:t xml:space="preserve">Муниципальное образование город Когалым  </w:t>
      </w:r>
    </w:p>
    <w:p w:rsidR="00AA01BE" w:rsidRPr="006B681B" w:rsidRDefault="00AA01BE" w:rsidP="0022054C">
      <w:pPr>
        <w:autoSpaceDE w:val="0"/>
        <w:autoSpaceDN w:val="0"/>
        <w:spacing w:after="0" w:line="240" w:lineRule="auto"/>
        <w:jc w:val="center"/>
        <w:rPr>
          <w:rFonts w:ascii="Times New Roman" w:hAnsi="Times New Roman" w:cs="Times New Roman"/>
          <w:b/>
          <w:bCs/>
          <w:i/>
          <w:sz w:val="28"/>
          <w:szCs w:val="28"/>
        </w:rPr>
      </w:pPr>
      <w:r w:rsidRPr="006B681B">
        <w:rPr>
          <w:rFonts w:ascii="Times New Roman" w:hAnsi="Times New Roman" w:cs="Times New Roman"/>
          <w:b/>
          <w:bCs/>
          <w:i/>
          <w:sz w:val="28"/>
          <w:szCs w:val="28"/>
        </w:rPr>
        <w:t>Ханты – Мансийский автономный округ – Югра</w:t>
      </w:r>
    </w:p>
    <w:p w:rsidR="00AA01BE" w:rsidRPr="006B681B" w:rsidRDefault="00AA01BE" w:rsidP="0022054C">
      <w:pPr>
        <w:autoSpaceDE w:val="0"/>
        <w:autoSpaceDN w:val="0"/>
        <w:spacing w:after="0" w:line="240" w:lineRule="auto"/>
        <w:jc w:val="center"/>
        <w:rPr>
          <w:rFonts w:ascii="Times New Roman" w:hAnsi="Times New Roman" w:cs="Times New Roman"/>
          <w:b/>
          <w:bCs/>
          <w:i/>
          <w:sz w:val="28"/>
          <w:szCs w:val="28"/>
        </w:rPr>
      </w:pPr>
    </w:p>
    <w:p w:rsidR="00AA01BE" w:rsidRPr="006B681B" w:rsidRDefault="00AA01BE" w:rsidP="0022054C">
      <w:pPr>
        <w:spacing w:after="0" w:line="240" w:lineRule="auto"/>
        <w:jc w:val="center"/>
        <w:rPr>
          <w:rFonts w:ascii="Times New Roman" w:hAnsi="Times New Roman" w:cs="Times New Roman"/>
          <w:b/>
          <w:sz w:val="32"/>
          <w:szCs w:val="32"/>
        </w:rPr>
      </w:pPr>
    </w:p>
    <w:p w:rsidR="00AA01BE" w:rsidRPr="006B681B" w:rsidRDefault="00AA01BE" w:rsidP="0022054C">
      <w:pPr>
        <w:spacing w:after="0" w:line="240" w:lineRule="auto"/>
        <w:jc w:val="center"/>
        <w:rPr>
          <w:rFonts w:ascii="Times New Roman" w:hAnsi="Times New Roman" w:cs="Times New Roman"/>
          <w:b/>
          <w:sz w:val="32"/>
          <w:szCs w:val="32"/>
        </w:rPr>
      </w:pPr>
    </w:p>
    <w:p w:rsidR="0022054C" w:rsidRPr="006B681B" w:rsidRDefault="0022054C" w:rsidP="0022054C">
      <w:pPr>
        <w:spacing w:after="0" w:line="240" w:lineRule="auto"/>
        <w:jc w:val="center"/>
        <w:rPr>
          <w:rFonts w:ascii="Times New Roman" w:hAnsi="Times New Roman" w:cs="Times New Roman"/>
          <w:b/>
          <w:sz w:val="32"/>
          <w:szCs w:val="32"/>
        </w:rPr>
      </w:pPr>
    </w:p>
    <w:p w:rsidR="0022054C" w:rsidRPr="006B681B" w:rsidRDefault="0022054C" w:rsidP="0022054C">
      <w:pPr>
        <w:spacing w:after="0" w:line="240" w:lineRule="auto"/>
        <w:jc w:val="center"/>
        <w:rPr>
          <w:rFonts w:ascii="Times New Roman" w:hAnsi="Times New Roman" w:cs="Times New Roman"/>
          <w:b/>
          <w:sz w:val="32"/>
          <w:szCs w:val="32"/>
        </w:rPr>
      </w:pPr>
    </w:p>
    <w:p w:rsidR="0022054C" w:rsidRPr="006B681B" w:rsidRDefault="0022054C" w:rsidP="0022054C">
      <w:pPr>
        <w:spacing w:after="0" w:line="240" w:lineRule="auto"/>
        <w:jc w:val="center"/>
        <w:rPr>
          <w:rFonts w:ascii="Times New Roman" w:hAnsi="Times New Roman" w:cs="Times New Roman"/>
          <w:b/>
          <w:sz w:val="32"/>
          <w:szCs w:val="32"/>
        </w:rPr>
      </w:pPr>
    </w:p>
    <w:p w:rsidR="0022054C" w:rsidRPr="006B681B" w:rsidRDefault="0022054C" w:rsidP="0022054C">
      <w:pPr>
        <w:spacing w:after="0" w:line="240" w:lineRule="auto"/>
        <w:jc w:val="center"/>
        <w:rPr>
          <w:rFonts w:ascii="Times New Roman" w:hAnsi="Times New Roman" w:cs="Times New Roman"/>
          <w:b/>
          <w:sz w:val="32"/>
          <w:szCs w:val="32"/>
        </w:rPr>
      </w:pPr>
    </w:p>
    <w:p w:rsidR="0022054C" w:rsidRPr="006B681B" w:rsidRDefault="0022054C" w:rsidP="0022054C">
      <w:pPr>
        <w:spacing w:after="0" w:line="240" w:lineRule="auto"/>
        <w:jc w:val="center"/>
        <w:rPr>
          <w:rFonts w:ascii="Times New Roman" w:hAnsi="Times New Roman" w:cs="Times New Roman"/>
          <w:b/>
          <w:sz w:val="32"/>
          <w:szCs w:val="32"/>
        </w:rPr>
      </w:pPr>
    </w:p>
    <w:p w:rsidR="0022054C" w:rsidRPr="006B681B" w:rsidRDefault="0022054C" w:rsidP="0022054C">
      <w:pPr>
        <w:spacing w:after="0" w:line="240" w:lineRule="auto"/>
        <w:jc w:val="center"/>
        <w:rPr>
          <w:rFonts w:ascii="Times New Roman" w:hAnsi="Times New Roman" w:cs="Times New Roman"/>
          <w:b/>
          <w:sz w:val="32"/>
          <w:szCs w:val="32"/>
        </w:rPr>
      </w:pPr>
    </w:p>
    <w:p w:rsidR="00AA01BE" w:rsidRPr="006B681B" w:rsidRDefault="00AA01BE" w:rsidP="0022054C">
      <w:pPr>
        <w:spacing w:after="0" w:line="240" w:lineRule="auto"/>
        <w:jc w:val="center"/>
        <w:rPr>
          <w:rFonts w:ascii="Times New Roman" w:hAnsi="Times New Roman" w:cs="Times New Roman"/>
          <w:b/>
          <w:sz w:val="32"/>
          <w:szCs w:val="32"/>
        </w:rPr>
      </w:pPr>
    </w:p>
    <w:p w:rsidR="00AA01BE" w:rsidRPr="006B681B" w:rsidRDefault="00AA01BE" w:rsidP="0022054C">
      <w:pPr>
        <w:spacing w:after="0" w:line="480" w:lineRule="auto"/>
        <w:jc w:val="center"/>
        <w:rPr>
          <w:rFonts w:ascii="Times New Roman" w:hAnsi="Times New Roman" w:cs="Times New Roman"/>
          <w:b/>
          <w:i/>
          <w:sz w:val="32"/>
          <w:szCs w:val="32"/>
        </w:rPr>
      </w:pPr>
      <w:r w:rsidRPr="006B681B">
        <w:rPr>
          <w:rFonts w:ascii="Times New Roman" w:hAnsi="Times New Roman" w:cs="Times New Roman"/>
          <w:b/>
          <w:i/>
          <w:sz w:val="32"/>
          <w:szCs w:val="32"/>
        </w:rPr>
        <w:t xml:space="preserve">ОСНОВНЫЕ ПОКАЗАТЕЛИ ПРОГНОЗА </w:t>
      </w:r>
    </w:p>
    <w:p w:rsidR="00AA01BE" w:rsidRPr="006B681B" w:rsidRDefault="00AA01BE" w:rsidP="0022054C">
      <w:pPr>
        <w:spacing w:after="0" w:line="480" w:lineRule="auto"/>
        <w:jc w:val="center"/>
        <w:rPr>
          <w:rFonts w:ascii="Times New Roman" w:hAnsi="Times New Roman" w:cs="Times New Roman"/>
          <w:b/>
          <w:i/>
          <w:sz w:val="32"/>
          <w:szCs w:val="32"/>
        </w:rPr>
      </w:pPr>
      <w:r w:rsidRPr="006B681B">
        <w:rPr>
          <w:rFonts w:ascii="Times New Roman" w:hAnsi="Times New Roman" w:cs="Times New Roman"/>
          <w:b/>
          <w:i/>
          <w:sz w:val="32"/>
          <w:szCs w:val="32"/>
        </w:rPr>
        <w:t xml:space="preserve">СОЦИАЛЬНО-ЭКОНОМИЧЕСКОГО РАЗВИТИЯ </w:t>
      </w:r>
    </w:p>
    <w:p w:rsidR="00C6470D" w:rsidRPr="006B681B" w:rsidRDefault="00AA01BE" w:rsidP="0022054C">
      <w:pPr>
        <w:spacing w:after="0" w:line="480" w:lineRule="auto"/>
        <w:jc w:val="center"/>
        <w:rPr>
          <w:rFonts w:ascii="Times New Roman" w:hAnsi="Times New Roman" w:cs="Times New Roman"/>
          <w:b/>
          <w:i/>
          <w:sz w:val="32"/>
          <w:szCs w:val="32"/>
        </w:rPr>
      </w:pPr>
      <w:r w:rsidRPr="006B681B">
        <w:rPr>
          <w:rFonts w:ascii="Times New Roman" w:hAnsi="Times New Roman" w:cs="Times New Roman"/>
          <w:b/>
          <w:i/>
          <w:sz w:val="32"/>
          <w:szCs w:val="32"/>
        </w:rPr>
        <w:t>ГОРОДА КОГАЛЫМА НА 201</w:t>
      </w:r>
      <w:r w:rsidR="00DA3C9F" w:rsidRPr="006B681B">
        <w:rPr>
          <w:rFonts w:ascii="Times New Roman" w:hAnsi="Times New Roman" w:cs="Times New Roman"/>
          <w:b/>
          <w:i/>
          <w:sz w:val="32"/>
          <w:szCs w:val="32"/>
        </w:rPr>
        <w:t>6</w:t>
      </w:r>
      <w:r w:rsidRPr="006B681B">
        <w:rPr>
          <w:rFonts w:ascii="Times New Roman" w:hAnsi="Times New Roman" w:cs="Times New Roman"/>
          <w:b/>
          <w:i/>
          <w:sz w:val="32"/>
          <w:szCs w:val="32"/>
        </w:rPr>
        <w:t xml:space="preserve"> ГОД </w:t>
      </w:r>
    </w:p>
    <w:p w:rsidR="00AA01BE" w:rsidRPr="006B681B" w:rsidRDefault="00AA01BE" w:rsidP="0022054C">
      <w:pPr>
        <w:spacing w:after="0" w:line="480" w:lineRule="auto"/>
        <w:jc w:val="center"/>
        <w:rPr>
          <w:rFonts w:ascii="Times New Roman" w:hAnsi="Times New Roman" w:cs="Times New Roman"/>
          <w:b/>
          <w:i/>
          <w:sz w:val="32"/>
          <w:szCs w:val="32"/>
        </w:rPr>
      </w:pPr>
      <w:r w:rsidRPr="006B681B">
        <w:rPr>
          <w:rFonts w:ascii="Times New Roman" w:hAnsi="Times New Roman" w:cs="Times New Roman"/>
          <w:b/>
          <w:i/>
          <w:sz w:val="32"/>
          <w:szCs w:val="32"/>
        </w:rPr>
        <w:t>И НА ПЛАНОВЫЙ ПЕРИОД 201</w:t>
      </w:r>
      <w:r w:rsidR="00DA3C9F" w:rsidRPr="006B681B">
        <w:rPr>
          <w:rFonts w:ascii="Times New Roman" w:hAnsi="Times New Roman" w:cs="Times New Roman"/>
          <w:b/>
          <w:i/>
          <w:sz w:val="32"/>
          <w:szCs w:val="32"/>
        </w:rPr>
        <w:t>7</w:t>
      </w:r>
      <w:r w:rsidR="00C6470D" w:rsidRPr="006B681B">
        <w:rPr>
          <w:rFonts w:ascii="Times New Roman" w:hAnsi="Times New Roman" w:cs="Times New Roman"/>
          <w:b/>
          <w:i/>
          <w:sz w:val="32"/>
          <w:szCs w:val="32"/>
        </w:rPr>
        <w:t xml:space="preserve"> - </w:t>
      </w:r>
      <w:r w:rsidRPr="006B681B">
        <w:rPr>
          <w:rFonts w:ascii="Times New Roman" w:hAnsi="Times New Roman" w:cs="Times New Roman"/>
          <w:b/>
          <w:i/>
          <w:sz w:val="32"/>
          <w:szCs w:val="32"/>
        </w:rPr>
        <w:t>201</w:t>
      </w:r>
      <w:r w:rsidR="00DA3C9F" w:rsidRPr="006B681B">
        <w:rPr>
          <w:rFonts w:ascii="Times New Roman" w:hAnsi="Times New Roman" w:cs="Times New Roman"/>
          <w:b/>
          <w:i/>
          <w:sz w:val="32"/>
          <w:szCs w:val="32"/>
        </w:rPr>
        <w:t>8</w:t>
      </w:r>
      <w:r w:rsidRPr="006B681B">
        <w:rPr>
          <w:rFonts w:ascii="Times New Roman" w:hAnsi="Times New Roman" w:cs="Times New Roman"/>
          <w:b/>
          <w:i/>
          <w:sz w:val="32"/>
          <w:szCs w:val="32"/>
        </w:rPr>
        <w:t xml:space="preserve"> ГОДОВ</w:t>
      </w:r>
    </w:p>
    <w:p w:rsidR="00AA01BE" w:rsidRPr="006B681B" w:rsidRDefault="00AA01BE" w:rsidP="0022054C">
      <w:pPr>
        <w:pStyle w:val="a7"/>
        <w:widowControl w:val="0"/>
        <w:suppressAutoHyphens/>
        <w:spacing w:after="0"/>
        <w:ind w:left="0"/>
        <w:jc w:val="center"/>
        <w:rPr>
          <w:b/>
          <w:bCs/>
          <w:sz w:val="36"/>
          <w:szCs w:val="36"/>
        </w:rPr>
      </w:pPr>
    </w:p>
    <w:p w:rsidR="00AA01BE" w:rsidRPr="006B681B" w:rsidRDefault="00AA01BE" w:rsidP="0022054C">
      <w:pPr>
        <w:pStyle w:val="a7"/>
        <w:widowControl w:val="0"/>
        <w:suppressAutoHyphens/>
        <w:spacing w:after="0"/>
        <w:ind w:left="0"/>
        <w:jc w:val="center"/>
        <w:rPr>
          <w:b/>
          <w:bCs/>
          <w:sz w:val="36"/>
          <w:szCs w:val="36"/>
        </w:rPr>
      </w:pPr>
    </w:p>
    <w:p w:rsidR="00AA01BE" w:rsidRPr="006B681B" w:rsidRDefault="00AA01BE" w:rsidP="0022054C">
      <w:pPr>
        <w:pStyle w:val="a7"/>
        <w:widowControl w:val="0"/>
        <w:suppressAutoHyphens/>
        <w:spacing w:after="0"/>
        <w:ind w:left="0"/>
        <w:jc w:val="center"/>
        <w:rPr>
          <w:b/>
          <w:bCs/>
          <w:sz w:val="36"/>
          <w:szCs w:val="36"/>
        </w:rPr>
      </w:pPr>
    </w:p>
    <w:p w:rsidR="00AA01BE" w:rsidRPr="006B681B" w:rsidRDefault="00AA01BE" w:rsidP="0022054C">
      <w:pPr>
        <w:pStyle w:val="a7"/>
        <w:widowControl w:val="0"/>
        <w:suppressAutoHyphens/>
        <w:spacing w:after="0"/>
        <w:ind w:left="0"/>
        <w:jc w:val="center"/>
        <w:rPr>
          <w:b/>
          <w:bCs/>
          <w:sz w:val="36"/>
          <w:szCs w:val="36"/>
        </w:rPr>
      </w:pPr>
    </w:p>
    <w:p w:rsidR="00AA01BE" w:rsidRPr="006B681B" w:rsidRDefault="00AA01BE" w:rsidP="0022054C">
      <w:pPr>
        <w:pStyle w:val="a7"/>
        <w:widowControl w:val="0"/>
        <w:suppressAutoHyphens/>
        <w:spacing w:after="0"/>
        <w:ind w:left="0"/>
        <w:jc w:val="center"/>
        <w:rPr>
          <w:b/>
          <w:bCs/>
          <w:sz w:val="36"/>
          <w:szCs w:val="36"/>
        </w:rPr>
      </w:pPr>
    </w:p>
    <w:p w:rsidR="00AA01BE" w:rsidRPr="006B681B" w:rsidRDefault="00AA01BE" w:rsidP="0022054C">
      <w:pPr>
        <w:pStyle w:val="a7"/>
        <w:widowControl w:val="0"/>
        <w:suppressAutoHyphens/>
        <w:spacing w:after="0"/>
        <w:ind w:left="0"/>
        <w:jc w:val="center"/>
        <w:rPr>
          <w:b/>
          <w:bCs/>
          <w:sz w:val="36"/>
          <w:szCs w:val="36"/>
        </w:rPr>
      </w:pPr>
    </w:p>
    <w:p w:rsidR="00AA01BE" w:rsidRPr="006B681B" w:rsidRDefault="00AA01BE" w:rsidP="0022054C">
      <w:pPr>
        <w:pStyle w:val="a7"/>
        <w:widowControl w:val="0"/>
        <w:suppressAutoHyphens/>
        <w:spacing w:after="0"/>
        <w:ind w:left="0"/>
        <w:jc w:val="center"/>
        <w:rPr>
          <w:b/>
          <w:bCs/>
          <w:sz w:val="36"/>
          <w:szCs w:val="36"/>
        </w:rPr>
      </w:pPr>
    </w:p>
    <w:p w:rsidR="00AA01BE" w:rsidRPr="006B681B" w:rsidRDefault="00AA01BE" w:rsidP="0022054C">
      <w:pPr>
        <w:pStyle w:val="a7"/>
        <w:widowControl w:val="0"/>
        <w:suppressAutoHyphens/>
        <w:spacing w:after="0"/>
        <w:ind w:left="0"/>
        <w:jc w:val="center"/>
        <w:rPr>
          <w:b/>
          <w:bCs/>
          <w:sz w:val="36"/>
          <w:szCs w:val="36"/>
        </w:rPr>
      </w:pPr>
    </w:p>
    <w:p w:rsidR="0022054C" w:rsidRPr="006B681B" w:rsidRDefault="0022054C" w:rsidP="0022054C">
      <w:pPr>
        <w:pStyle w:val="a7"/>
        <w:widowControl w:val="0"/>
        <w:suppressAutoHyphens/>
        <w:spacing w:after="0"/>
        <w:ind w:left="0"/>
        <w:jc w:val="center"/>
        <w:rPr>
          <w:b/>
          <w:bCs/>
          <w:sz w:val="36"/>
          <w:szCs w:val="36"/>
        </w:rPr>
      </w:pPr>
    </w:p>
    <w:p w:rsidR="0022054C" w:rsidRPr="006B681B" w:rsidRDefault="0022054C" w:rsidP="0022054C">
      <w:pPr>
        <w:pStyle w:val="a7"/>
        <w:widowControl w:val="0"/>
        <w:suppressAutoHyphens/>
        <w:spacing w:after="0"/>
        <w:ind w:left="0"/>
        <w:jc w:val="center"/>
        <w:rPr>
          <w:b/>
          <w:bCs/>
          <w:sz w:val="36"/>
          <w:szCs w:val="36"/>
        </w:rPr>
      </w:pPr>
    </w:p>
    <w:p w:rsidR="00AA01BE" w:rsidRPr="006B681B" w:rsidRDefault="00AA01BE" w:rsidP="0022054C">
      <w:pPr>
        <w:pStyle w:val="a7"/>
        <w:widowControl w:val="0"/>
        <w:suppressAutoHyphens/>
        <w:spacing w:after="0"/>
        <w:ind w:left="0"/>
        <w:jc w:val="center"/>
        <w:rPr>
          <w:b/>
          <w:bCs/>
          <w:sz w:val="36"/>
          <w:szCs w:val="36"/>
        </w:rPr>
      </w:pPr>
    </w:p>
    <w:p w:rsidR="00AA01BE" w:rsidRPr="006B681B" w:rsidRDefault="00AA01BE" w:rsidP="0022054C">
      <w:pPr>
        <w:pStyle w:val="a7"/>
        <w:widowControl w:val="0"/>
        <w:suppressAutoHyphens/>
        <w:spacing w:after="0"/>
        <w:ind w:left="0"/>
        <w:jc w:val="center"/>
        <w:rPr>
          <w:b/>
          <w:bCs/>
          <w:sz w:val="36"/>
          <w:szCs w:val="36"/>
        </w:rPr>
      </w:pPr>
    </w:p>
    <w:p w:rsidR="00AA01BE" w:rsidRPr="006B681B" w:rsidRDefault="00AA01BE" w:rsidP="0022054C">
      <w:pPr>
        <w:pStyle w:val="a7"/>
        <w:widowControl w:val="0"/>
        <w:suppressAutoHyphens/>
        <w:spacing w:after="0"/>
        <w:ind w:left="0"/>
        <w:jc w:val="center"/>
        <w:rPr>
          <w:b/>
          <w:bCs/>
          <w:sz w:val="36"/>
          <w:szCs w:val="36"/>
        </w:rPr>
      </w:pPr>
    </w:p>
    <w:p w:rsidR="00AA01BE" w:rsidRPr="006B681B" w:rsidRDefault="00AA01BE" w:rsidP="0022054C">
      <w:pPr>
        <w:pStyle w:val="a7"/>
        <w:widowControl w:val="0"/>
        <w:suppressAutoHyphens/>
        <w:spacing w:after="0"/>
        <w:ind w:left="0"/>
        <w:jc w:val="center"/>
        <w:rPr>
          <w:b/>
          <w:bCs/>
          <w:sz w:val="36"/>
          <w:szCs w:val="36"/>
        </w:rPr>
      </w:pPr>
    </w:p>
    <w:p w:rsidR="00AA01BE" w:rsidRPr="006B681B" w:rsidRDefault="00AA01BE" w:rsidP="0022054C">
      <w:pPr>
        <w:pStyle w:val="a7"/>
        <w:widowControl w:val="0"/>
        <w:suppressAutoHyphens/>
        <w:spacing w:after="0"/>
        <w:ind w:left="0"/>
        <w:jc w:val="center"/>
        <w:rPr>
          <w:b/>
          <w:bCs/>
          <w:sz w:val="36"/>
          <w:szCs w:val="36"/>
        </w:rPr>
      </w:pPr>
    </w:p>
    <w:p w:rsidR="00AA01BE" w:rsidRPr="006B681B" w:rsidRDefault="00AA01BE" w:rsidP="0022054C">
      <w:pPr>
        <w:pStyle w:val="a7"/>
        <w:widowControl w:val="0"/>
        <w:suppressAutoHyphens/>
        <w:spacing w:after="0"/>
        <w:ind w:left="0"/>
        <w:jc w:val="center"/>
      </w:pPr>
      <w:r w:rsidRPr="006B681B">
        <w:t>Когалым – 201</w:t>
      </w:r>
      <w:r w:rsidR="00DA3C9F" w:rsidRPr="006B681B">
        <w:t>5</w:t>
      </w:r>
    </w:p>
    <w:p w:rsidR="000A16D3" w:rsidRPr="006B681B" w:rsidRDefault="000A16D3" w:rsidP="0022054C">
      <w:pPr>
        <w:spacing w:after="0" w:line="240" w:lineRule="auto"/>
        <w:rPr>
          <w:rFonts w:ascii="Times New Roman" w:hAnsi="Times New Roman" w:cs="Times New Roman"/>
        </w:rPr>
      </w:pPr>
    </w:p>
    <w:p w:rsidR="000A16D3" w:rsidRPr="006B681B" w:rsidRDefault="000A16D3" w:rsidP="00C2611E">
      <w:pPr>
        <w:spacing w:after="0" w:line="360" w:lineRule="auto"/>
        <w:jc w:val="center"/>
        <w:rPr>
          <w:rFonts w:ascii="Times New Roman" w:hAnsi="Times New Roman" w:cs="Times New Roman"/>
          <w:sz w:val="26"/>
          <w:szCs w:val="26"/>
        </w:rPr>
      </w:pPr>
      <w:r w:rsidRPr="006B681B">
        <w:rPr>
          <w:rFonts w:ascii="Times New Roman" w:hAnsi="Times New Roman" w:cs="Times New Roman"/>
          <w:sz w:val="26"/>
          <w:szCs w:val="26"/>
        </w:rPr>
        <w:lastRenderedPageBreak/>
        <w:t>Содержание</w:t>
      </w:r>
    </w:p>
    <w:p w:rsidR="000A16D3" w:rsidRPr="006B681B" w:rsidRDefault="000A16D3" w:rsidP="00C2611E">
      <w:pPr>
        <w:spacing w:after="0" w:line="360" w:lineRule="auto"/>
        <w:jc w:val="both"/>
        <w:rPr>
          <w:rFonts w:ascii="Times New Roman" w:hAnsi="Times New Roman" w:cs="Times New Roman"/>
          <w:sz w:val="26"/>
          <w:szCs w:val="26"/>
        </w:rPr>
      </w:pPr>
    </w:p>
    <w:p w:rsidR="00E51321" w:rsidRPr="00E51321" w:rsidRDefault="00197850">
      <w:pPr>
        <w:pStyle w:val="11"/>
        <w:tabs>
          <w:tab w:val="right" w:leader="dot" w:pos="9628"/>
        </w:tabs>
        <w:rPr>
          <w:rFonts w:ascii="Times New Roman" w:eastAsiaTheme="minorEastAsia" w:hAnsi="Times New Roman" w:cs="Times New Roman"/>
          <w:noProof/>
          <w:sz w:val="26"/>
          <w:szCs w:val="26"/>
          <w:lang w:eastAsia="ru-RU"/>
        </w:rPr>
      </w:pPr>
      <w:r w:rsidRPr="006B681B">
        <w:rPr>
          <w:rFonts w:ascii="Times New Roman" w:hAnsi="Times New Roman" w:cs="Times New Roman"/>
          <w:sz w:val="26"/>
          <w:szCs w:val="26"/>
        </w:rPr>
        <w:fldChar w:fldCharType="begin"/>
      </w:r>
      <w:r w:rsidRPr="006B681B">
        <w:rPr>
          <w:rFonts w:ascii="Times New Roman" w:hAnsi="Times New Roman" w:cs="Times New Roman"/>
          <w:sz w:val="26"/>
          <w:szCs w:val="26"/>
        </w:rPr>
        <w:instrText xml:space="preserve"> TOC \o "1-1" \h \z \u </w:instrText>
      </w:r>
      <w:r w:rsidRPr="006B681B">
        <w:rPr>
          <w:rFonts w:ascii="Times New Roman" w:hAnsi="Times New Roman" w:cs="Times New Roman"/>
          <w:sz w:val="26"/>
          <w:szCs w:val="26"/>
        </w:rPr>
        <w:fldChar w:fldCharType="separate"/>
      </w:r>
      <w:hyperlink w:anchor="_Toc435801063" w:history="1">
        <w:r w:rsidR="00E51321" w:rsidRPr="00E51321">
          <w:rPr>
            <w:rStyle w:val="afa"/>
            <w:rFonts w:ascii="Times New Roman" w:eastAsia="Calibri" w:hAnsi="Times New Roman" w:cs="Times New Roman"/>
            <w:noProof/>
            <w:sz w:val="26"/>
            <w:szCs w:val="26"/>
            <w:lang w:eastAsia="ru-RU"/>
          </w:rPr>
          <w:t>Общая оценка социально-экономической ситуации в городе Когалыме за 2014 год</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_Toc435801063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3</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64" w:history="1">
        <w:r w:rsidR="00E51321" w:rsidRPr="00E51321">
          <w:rPr>
            <w:rStyle w:val="afa"/>
            <w:rFonts w:ascii="Times New Roman" w:hAnsi="Times New Roman" w:cs="Times New Roman"/>
            <w:bCs/>
            <w:noProof/>
            <w:sz w:val="26"/>
            <w:szCs w:val="26"/>
          </w:rPr>
          <w:t>1. Промышленное производство</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_Toc435801064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6</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65" w:history="1">
        <w:r w:rsidR="00E51321" w:rsidRPr="00E51321">
          <w:rPr>
            <w:rStyle w:val="afa"/>
            <w:rFonts w:ascii="Times New Roman" w:hAnsi="Times New Roman" w:cs="Times New Roman"/>
            <w:bCs/>
            <w:noProof/>
            <w:sz w:val="26"/>
            <w:szCs w:val="26"/>
          </w:rPr>
          <w:t>2. Инвестиции</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_Toc435801065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8</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66" w:history="1">
        <w:r w:rsidR="00E51321" w:rsidRPr="00E51321">
          <w:rPr>
            <w:rStyle w:val="afa"/>
            <w:rFonts w:ascii="Times New Roman" w:hAnsi="Times New Roman" w:cs="Times New Roman"/>
            <w:noProof/>
            <w:sz w:val="26"/>
            <w:szCs w:val="26"/>
          </w:rPr>
          <w:t>3. Строительство</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_Toc435801066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11</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67" w:history="1">
        <w:r w:rsidR="00E51321" w:rsidRPr="00E51321">
          <w:rPr>
            <w:rStyle w:val="afa"/>
            <w:rFonts w:ascii="Times New Roman" w:hAnsi="Times New Roman" w:cs="Times New Roman"/>
            <w:bCs/>
            <w:noProof/>
            <w:sz w:val="26"/>
            <w:szCs w:val="26"/>
          </w:rPr>
          <w:t>4. Потребительский рынок</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_Toc435801067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12</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68" w:history="1">
        <w:r w:rsidR="00E51321" w:rsidRPr="00E51321">
          <w:rPr>
            <w:rStyle w:val="afa"/>
            <w:rFonts w:ascii="Times New Roman" w:hAnsi="Times New Roman" w:cs="Times New Roman"/>
            <w:bCs/>
            <w:noProof/>
            <w:sz w:val="26"/>
            <w:szCs w:val="26"/>
          </w:rPr>
          <w:t>4.1. Розничная торговля</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_Toc435801068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12</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69" w:history="1">
        <w:r w:rsidR="00E51321" w:rsidRPr="00E51321">
          <w:rPr>
            <w:rStyle w:val="afa"/>
            <w:rFonts w:ascii="Times New Roman" w:hAnsi="Times New Roman" w:cs="Times New Roman"/>
            <w:bCs/>
            <w:noProof/>
            <w:sz w:val="26"/>
            <w:szCs w:val="26"/>
          </w:rPr>
          <w:t>4.2. Платные услуги</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_Toc435801069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15</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70" w:history="1">
        <w:r w:rsidR="00E51321" w:rsidRPr="00E51321">
          <w:rPr>
            <w:rStyle w:val="afa"/>
            <w:rFonts w:ascii="Times New Roman" w:hAnsi="Times New Roman" w:cs="Times New Roman"/>
            <w:bCs/>
            <w:noProof/>
            <w:sz w:val="26"/>
            <w:szCs w:val="26"/>
          </w:rPr>
          <w:t>4.3. Агропромышленный комплекс</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_Toc435801070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16</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71" w:history="1">
        <w:r w:rsidR="00E51321" w:rsidRPr="00E51321">
          <w:rPr>
            <w:rStyle w:val="afa"/>
            <w:rFonts w:ascii="Times New Roman" w:hAnsi="Times New Roman" w:cs="Times New Roman"/>
            <w:bCs/>
            <w:noProof/>
            <w:sz w:val="26"/>
            <w:szCs w:val="26"/>
          </w:rPr>
          <w:t>5. Уровень жизни населения</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_Toc435801071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17</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72" w:history="1">
        <w:r w:rsidR="00E51321" w:rsidRPr="00E51321">
          <w:rPr>
            <w:rStyle w:val="afa"/>
            <w:rFonts w:ascii="Times New Roman" w:hAnsi="Times New Roman" w:cs="Times New Roman"/>
            <w:bCs/>
            <w:noProof/>
            <w:sz w:val="26"/>
            <w:szCs w:val="26"/>
          </w:rPr>
          <w:t>6. Труд и занятость</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_Toc435801072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17</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73" w:history="1">
        <w:r w:rsidR="00E51321" w:rsidRPr="00E51321">
          <w:rPr>
            <w:rStyle w:val="afa"/>
            <w:rFonts w:ascii="Times New Roman" w:hAnsi="Times New Roman" w:cs="Times New Roman"/>
            <w:noProof/>
            <w:sz w:val="26"/>
            <w:szCs w:val="26"/>
          </w:rPr>
          <w:t>7. Демография</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_Toc435801073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19</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74" w:history="1">
        <w:r w:rsidR="00E51321" w:rsidRPr="00E51321">
          <w:rPr>
            <w:rStyle w:val="afa"/>
            <w:rFonts w:ascii="Times New Roman" w:hAnsi="Times New Roman" w:cs="Times New Roman"/>
            <w:noProof/>
            <w:sz w:val="26"/>
            <w:szCs w:val="26"/>
          </w:rPr>
          <w:t>8. Развитие отраслей социальной сферы</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_Toc435801074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20</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75" w:history="1">
        <w:r w:rsidR="00E51321" w:rsidRPr="00E51321">
          <w:rPr>
            <w:rStyle w:val="afa"/>
            <w:rFonts w:ascii="Times New Roman" w:hAnsi="Times New Roman" w:cs="Times New Roman"/>
            <w:noProof/>
            <w:sz w:val="26"/>
            <w:szCs w:val="26"/>
          </w:rPr>
          <w:t>Образование</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_Toc435801075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20</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76" w:history="1">
        <w:r w:rsidR="00E51321" w:rsidRPr="00E51321">
          <w:rPr>
            <w:rStyle w:val="afa"/>
            <w:rFonts w:ascii="Times New Roman" w:hAnsi="Times New Roman" w:cs="Times New Roman"/>
            <w:noProof/>
            <w:sz w:val="26"/>
            <w:szCs w:val="26"/>
          </w:rPr>
          <w:t>Здравоохранение</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_Toc435801076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22</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77" w:history="1">
        <w:r w:rsidR="00E51321" w:rsidRPr="00E51321">
          <w:rPr>
            <w:rStyle w:val="afa"/>
            <w:rFonts w:ascii="Times New Roman" w:hAnsi="Times New Roman" w:cs="Times New Roman"/>
            <w:noProof/>
            <w:sz w:val="26"/>
            <w:szCs w:val="26"/>
          </w:rPr>
          <w:t>Культура</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_Toc435801077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23</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78" w:history="1">
        <w:r w:rsidR="00E51321" w:rsidRPr="00E51321">
          <w:rPr>
            <w:rStyle w:val="afa"/>
            <w:rFonts w:ascii="Times New Roman" w:hAnsi="Times New Roman" w:cs="Times New Roman"/>
            <w:noProof/>
            <w:sz w:val="26"/>
            <w:szCs w:val="26"/>
          </w:rPr>
          <w:t>Физическая культура и спорт</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_Toc435801078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24</w:t>
        </w:r>
        <w:r w:rsidR="00E51321" w:rsidRPr="00E51321">
          <w:rPr>
            <w:rFonts w:ascii="Times New Roman" w:hAnsi="Times New Roman" w:cs="Times New Roman"/>
            <w:noProof/>
            <w:webHidden/>
            <w:sz w:val="26"/>
            <w:szCs w:val="26"/>
          </w:rPr>
          <w:fldChar w:fldCharType="end"/>
        </w:r>
      </w:hyperlink>
    </w:p>
    <w:p w:rsidR="00E51321" w:rsidRPr="00E51321" w:rsidRDefault="00752BB3">
      <w:pPr>
        <w:pStyle w:val="11"/>
        <w:tabs>
          <w:tab w:val="right" w:leader="dot" w:pos="9628"/>
        </w:tabs>
        <w:rPr>
          <w:rFonts w:ascii="Times New Roman" w:eastAsiaTheme="minorEastAsia" w:hAnsi="Times New Roman" w:cs="Times New Roman"/>
          <w:noProof/>
          <w:sz w:val="26"/>
          <w:szCs w:val="26"/>
          <w:lang w:eastAsia="ru-RU"/>
        </w:rPr>
      </w:pPr>
      <w:hyperlink w:anchor="_Toc435801079" w:history="1">
        <w:r w:rsidR="00E51321" w:rsidRPr="00E51321">
          <w:rPr>
            <w:rStyle w:val="afa"/>
            <w:rFonts w:ascii="Times New Roman" w:hAnsi="Times New Roman" w:cs="Times New Roman"/>
            <w:noProof/>
            <w:sz w:val="26"/>
            <w:szCs w:val="26"/>
          </w:rPr>
          <w:t>Социальная защита населения</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_Toc435801079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24</w:t>
        </w:r>
        <w:r w:rsidR="00E51321" w:rsidRPr="00E51321">
          <w:rPr>
            <w:rFonts w:ascii="Times New Roman" w:hAnsi="Times New Roman" w:cs="Times New Roman"/>
            <w:noProof/>
            <w:webHidden/>
            <w:sz w:val="26"/>
            <w:szCs w:val="26"/>
          </w:rPr>
          <w:fldChar w:fldCharType="end"/>
        </w:r>
      </w:hyperlink>
    </w:p>
    <w:p w:rsidR="00E51321" w:rsidRDefault="00752BB3">
      <w:pPr>
        <w:pStyle w:val="11"/>
        <w:tabs>
          <w:tab w:val="right" w:leader="dot" w:pos="9628"/>
        </w:tabs>
        <w:rPr>
          <w:rFonts w:asciiTheme="minorHAnsi" w:eastAsiaTheme="minorEastAsia" w:hAnsiTheme="minorHAnsi" w:cstheme="minorBidi"/>
          <w:noProof/>
          <w:lang w:eastAsia="ru-RU"/>
        </w:rPr>
      </w:pPr>
      <w:hyperlink w:anchor="_Toc435801080" w:history="1">
        <w:r w:rsidR="00E51321" w:rsidRPr="00E51321">
          <w:rPr>
            <w:rStyle w:val="afa"/>
            <w:rFonts w:ascii="Times New Roman" w:hAnsi="Times New Roman" w:cs="Times New Roman"/>
            <w:bCs/>
            <w:noProof/>
            <w:sz w:val="26"/>
            <w:szCs w:val="26"/>
          </w:rPr>
          <w:t>9. Малое и среднее предпринимательство</w:t>
        </w:r>
        <w:r w:rsidR="00E51321" w:rsidRPr="00E51321">
          <w:rPr>
            <w:rFonts w:ascii="Times New Roman" w:hAnsi="Times New Roman" w:cs="Times New Roman"/>
            <w:noProof/>
            <w:webHidden/>
            <w:sz w:val="26"/>
            <w:szCs w:val="26"/>
          </w:rPr>
          <w:tab/>
        </w:r>
        <w:r w:rsidR="00E51321" w:rsidRPr="00E51321">
          <w:rPr>
            <w:rFonts w:ascii="Times New Roman" w:hAnsi="Times New Roman" w:cs="Times New Roman"/>
            <w:noProof/>
            <w:webHidden/>
            <w:sz w:val="26"/>
            <w:szCs w:val="26"/>
          </w:rPr>
          <w:fldChar w:fldCharType="begin"/>
        </w:r>
        <w:r w:rsidR="00E51321" w:rsidRPr="00E51321">
          <w:rPr>
            <w:rFonts w:ascii="Times New Roman" w:hAnsi="Times New Roman" w:cs="Times New Roman"/>
            <w:noProof/>
            <w:webHidden/>
            <w:sz w:val="26"/>
            <w:szCs w:val="26"/>
          </w:rPr>
          <w:instrText xml:space="preserve"> PAGEREF _Toc435801080 \h </w:instrText>
        </w:r>
        <w:r w:rsidR="00E51321" w:rsidRPr="00E51321">
          <w:rPr>
            <w:rFonts w:ascii="Times New Roman" w:hAnsi="Times New Roman" w:cs="Times New Roman"/>
            <w:noProof/>
            <w:webHidden/>
            <w:sz w:val="26"/>
            <w:szCs w:val="26"/>
          </w:rPr>
        </w:r>
        <w:r w:rsidR="00E51321" w:rsidRPr="00E51321">
          <w:rPr>
            <w:rFonts w:ascii="Times New Roman" w:hAnsi="Times New Roman" w:cs="Times New Roman"/>
            <w:noProof/>
            <w:webHidden/>
            <w:sz w:val="26"/>
            <w:szCs w:val="26"/>
          </w:rPr>
          <w:fldChar w:fldCharType="separate"/>
        </w:r>
        <w:r w:rsidR="00BD4EE6">
          <w:rPr>
            <w:rFonts w:ascii="Times New Roman" w:hAnsi="Times New Roman" w:cs="Times New Roman"/>
            <w:noProof/>
            <w:webHidden/>
            <w:sz w:val="26"/>
            <w:szCs w:val="26"/>
          </w:rPr>
          <w:t>25</w:t>
        </w:r>
        <w:r w:rsidR="00E51321" w:rsidRPr="00E51321">
          <w:rPr>
            <w:rFonts w:ascii="Times New Roman" w:hAnsi="Times New Roman" w:cs="Times New Roman"/>
            <w:noProof/>
            <w:webHidden/>
            <w:sz w:val="26"/>
            <w:szCs w:val="26"/>
          </w:rPr>
          <w:fldChar w:fldCharType="end"/>
        </w:r>
      </w:hyperlink>
    </w:p>
    <w:p w:rsidR="00197850" w:rsidRPr="006B681B" w:rsidRDefault="00197850" w:rsidP="00C2611E">
      <w:pPr>
        <w:spacing w:after="0" w:line="360" w:lineRule="auto"/>
        <w:jc w:val="both"/>
        <w:rPr>
          <w:rFonts w:ascii="Times New Roman" w:hAnsi="Times New Roman" w:cs="Times New Roman"/>
          <w:b/>
          <w:sz w:val="26"/>
          <w:szCs w:val="26"/>
        </w:rPr>
      </w:pPr>
      <w:r w:rsidRPr="006B681B">
        <w:rPr>
          <w:rFonts w:ascii="Times New Roman" w:hAnsi="Times New Roman" w:cs="Times New Roman"/>
          <w:sz w:val="26"/>
          <w:szCs w:val="26"/>
        </w:rPr>
        <w:fldChar w:fldCharType="end"/>
      </w:r>
    </w:p>
    <w:p w:rsidR="00990F27" w:rsidRPr="006B681B" w:rsidRDefault="00990F27" w:rsidP="0022054C">
      <w:pPr>
        <w:spacing w:after="0" w:line="240" w:lineRule="auto"/>
        <w:rPr>
          <w:rFonts w:ascii="Times New Roman" w:hAnsi="Times New Roman" w:cs="Times New Roman"/>
          <w:b/>
          <w:bCs/>
          <w:sz w:val="26"/>
          <w:szCs w:val="26"/>
        </w:rPr>
      </w:pPr>
      <w:r w:rsidRPr="006B681B">
        <w:rPr>
          <w:rFonts w:ascii="Times New Roman" w:hAnsi="Times New Roman" w:cs="Times New Roman"/>
          <w:b/>
          <w:bCs/>
          <w:sz w:val="26"/>
          <w:szCs w:val="26"/>
        </w:rPr>
        <w:br w:type="page"/>
      </w:r>
    </w:p>
    <w:p w:rsidR="00990F27" w:rsidRPr="006B681B" w:rsidRDefault="00990F27" w:rsidP="0022054C">
      <w:pPr>
        <w:spacing w:after="0" w:line="240" w:lineRule="auto"/>
        <w:jc w:val="center"/>
        <w:rPr>
          <w:rFonts w:ascii="Times New Roman" w:hAnsi="Times New Roman" w:cs="Times New Roman"/>
          <w:b/>
          <w:bCs/>
          <w:sz w:val="26"/>
          <w:szCs w:val="26"/>
        </w:rPr>
        <w:sectPr w:rsidR="00990F27" w:rsidRPr="006B681B" w:rsidSect="00990F27">
          <w:footerReference w:type="default" r:id="rId8"/>
          <w:pgSz w:w="11906" w:h="16838"/>
          <w:pgMar w:top="1134" w:right="567" w:bottom="1134" w:left="1701" w:header="709" w:footer="709" w:gutter="0"/>
          <w:pgNumType w:start="1"/>
          <w:cols w:space="708"/>
          <w:titlePg/>
          <w:docGrid w:linePitch="360"/>
        </w:sectPr>
      </w:pPr>
    </w:p>
    <w:p w:rsidR="00990F27" w:rsidRPr="006B681B" w:rsidRDefault="00990F27" w:rsidP="0022054C">
      <w:pPr>
        <w:spacing w:after="0" w:line="240" w:lineRule="auto"/>
        <w:jc w:val="center"/>
        <w:rPr>
          <w:rFonts w:ascii="Times New Roman" w:hAnsi="Times New Roman" w:cs="Times New Roman"/>
          <w:b/>
          <w:bCs/>
          <w:sz w:val="26"/>
          <w:szCs w:val="26"/>
        </w:rPr>
      </w:pPr>
      <w:r w:rsidRPr="006B681B">
        <w:rPr>
          <w:rFonts w:ascii="Times New Roman" w:hAnsi="Times New Roman" w:cs="Times New Roman"/>
          <w:b/>
          <w:bCs/>
          <w:sz w:val="26"/>
          <w:szCs w:val="26"/>
        </w:rPr>
        <w:t xml:space="preserve">ПОЯСНИТЕЛЬНАЯ ЗАПИСКА </w:t>
      </w:r>
    </w:p>
    <w:p w:rsidR="00990F27" w:rsidRPr="006B681B" w:rsidRDefault="00990F27" w:rsidP="0022054C">
      <w:pPr>
        <w:spacing w:after="0" w:line="240" w:lineRule="auto"/>
        <w:jc w:val="center"/>
        <w:rPr>
          <w:rFonts w:ascii="Times New Roman" w:hAnsi="Times New Roman" w:cs="Times New Roman"/>
          <w:b/>
          <w:bCs/>
          <w:sz w:val="26"/>
          <w:szCs w:val="26"/>
        </w:rPr>
      </w:pPr>
      <w:r w:rsidRPr="006B681B">
        <w:rPr>
          <w:rFonts w:ascii="Times New Roman" w:hAnsi="Times New Roman" w:cs="Times New Roman"/>
          <w:b/>
          <w:bCs/>
          <w:sz w:val="26"/>
          <w:szCs w:val="26"/>
        </w:rPr>
        <w:t>к прогнозу социально-экономического развития</w:t>
      </w:r>
    </w:p>
    <w:p w:rsidR="00990F27" w:rsidRPr="006B681B" w:rsidRDefault="00990F27" w:rsidP="0022054C">
      <w:pPr>
        <w:spacing w:after="0" w:line="240" w:lineRule="auto"/>
        <w:jc w:val="center"/>
        <w:rPr>
          <w:rFonts w:ascii="Times New Roman" w:hAnsi="Times New Roman" w:cs="Times New Roman"/>
          <w:b/>
          <w:bCs/>
          <w:sz w:val="26"/>
          <w:szCs w:val="26"/>
        </w:rPr>
      </w:pPr>
      <w:r w:rsidRPr="006B681B">
        <w:rPr>
          <w:rFonts w:ascii="Times New Roman" w:hAnsi="Times New Roman" w:cs="Times New Roman"/>
          <w:b/>
          <w:bCs/>
          <w:sz w:val="26"/>
          <w:szCs w:val="26"/>
        </w:rPr>
        <w:t xml:space="preserve">муниципального образования город Когалым на 2016 год </w:t>
      </w:r>
    </w:p>
    <w:p w:rsidR="00990F27" w:rsidRPr="006B681B" w:rsidRDefault="00990F27" w:rsidP="0022054C">
      <w:pPr>
        <w:spacing w:after="0" w:line="240" w:lineRule="auto"/>
        <w:jc w:val="center"/>
        <w:rPr>
          <w:rFonts w:ascii="Times New Roman" w:hAnsi="Times New Roman" w:cs="Times New Roman"/>
          <w:b/>
          <w:bCs/>
          <w:sz w:val="26"/>
          <w:szCs w:val="26"/>
        </w:rPr>
      </w:pPr>
      <w:r w:rsidRPr="006B681B">
        <w:rPr>
          <w:rFonts w:ascii="Times New Roman" w:hAnsi="Times New Roman" w:cs="Times New Roman"/>
          <w:b/>
          <w:bCs/>
          <w:sz w:val="26"/>
          <w:szCs w:val="26"/>
        </w:rPr>
        <w:t>и на плановый период 2017 и 2018 годов</w:t>
      </w:r>
    </w:p>
    <w:p w:rsidR="00990F27" w:rsidRPr="006B681B" w:rsidRDefault="00990F27" w:rsidP="0022054C">
      <w:pPr>
        <w:spacing w:after="0" w:line="240" w:lineRule="auto"/>
        <w:ind w:firstLine="709"/>
        <w:jc w:val="both"/>
        <w:rPr>
          <w:rFonts w:ascii="Times New Roman" w:hAnsi="Times New Roman" w:cs="Times New Roman"/>
          <w:sz w:val="26"/>
          <w:szCs w:val="26"/>
        </w:rPr>
      </w:pPr>
    </w:p>
    <w:p w:rsidR="00990F27" w:rsidRPr="006B681B" w:rsidRDefault="00990F27"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Прогноз социально-экономического развития города Когалыма на 2016 год и на плановый период 2017 и 2018 годов (далее – прогноз) разработан </w:t>
      </w:r>
      <w:r w:rsidR="009B77F7" w:rsidRPr="006B681B">
        <w:rPr>
          <w:rFonts w:ascii="Times New Roman" w:eastAsia="Calibri" w:hAnsi="Times New Roman" w:cs="Times New Roman"/>
          <w:sz w:val="26"/>
          <w:szCs w:val="26"/>
          <w:lang w:eastAsia="ru-RU"/>
        </w:rPr>
        <w:t>на основе одобренных Правительством</w:t>
      </w:r>
      <w:r w:rsidRPr="006B681B">
        <w:rPr>
          <w:rFonts w:ascii="Times New Roman" w:eastAsia="Calibri" w:hAnsi="Times New Roman" w:cs="Times New Roman"/>
          <w:sz w:val="26"/>
          <w:szCs w:val="26"/>
          <w:lang w:eastAsia="ru-RU"/>
        </w:rPr>
        <w:t xml:space="preserve"> Российской Федерации</w:t>
      </w:r>
      <w:r w:rsidR="009B77F7" w:rsidRPr="006B681B">
        <w:rPr>
          <w:rFonts w:ascii="Times New Roman" w:eastAsia="Calibri" w:hAnsi="Times New Roman" w:cs="Times New Roman"/>
          <w:sz w:val="26"/>
          <w:szCs w:val="26"/>
          <w:lang w:eastAsia="ru-RU"/>
        </w:rPr>
        <w:t xml:space="preserve"> сценарных условий социально-экономического развития Российской Федерации</w:t>
      </w:r>
      <w:r w:rsidRPr="006B681B">
        <w:rPr>
          <w:rFonts w:ascii="Times New Roman" w:eastAsia="Calibri" w:hAnsi="Times New Roman" w:cs="Times New Roman"/>
          <w:sz w:val="26"/>
          <w:szCs w:val="26"/>
          <w:lang w:eastAsia="ru-RU"/>
        </w:rPr>
        <w:t>, с учетом задач, обозначенных в Послании Президента Российской Федерации Федеральному Собранию Российской Федерации от 4 декабря 2014 года, целевых индикаторов социально-экономического развития, сформулированных в указах Президента Российской Федерации от 7 мая 2012 года и приоритетов, обозначенных в Стратегии социально-экономического развития Ханты-Мансийского автономного округа - Югры, в Стратегии социально-экономического развития городского округа города Когалыма до 2020 года и на период до 2030 года, а также нормативными документами Правительства Российской Федерации и Ханты-Мансийского автономного округа - Югры.</w:t>
      </w:r>
    </w:p>
    <w:p w:rsidR="00990F27" w:rsidRPr="006B681B" w:rsidRDefault="00990F27"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Основные показатели прогноза социально-экономического развития города Когалыма на 2016 год и на плановый период 2017 и 2018 годов сформированы на основе анализа экономической ситуации за 2014 год, предварительной оценки развития экономики города </w:t>
      </w:r>
      <w:r w:rsidR="009B77F7" w:rsidRPr="006B681B">
        <w:rPr>
          <w:rFonts w:ascii="Times New Roman" w:eastAsia="Calibri" w:hAnsi="Times New Roman" w:cs="Times New Roman"/>
          <w:sz w:val="26"/>
          <w:szCs w:val="26"/>
          <w:lang w:eastAsia="ru-RU"/>
        </w:rPr>
        <w:t xml:space="preserve">Когалыма </w:t>
      </w:r>
      <w:r w:rsidRPr="006B681B">
        <w:rPr>
          <w:rFonts w:ascii="Times New Roman" w:eastAsia="Calibri" w:hAnsi="Times New Roman" w:cs="Times New Roman"/>
          <w:sz w:val="26"/>
          <w:szCs w:val="26"/>
          <w:lang w:eastAsia="ru-RU"/>
        </w:rPr>
        <w:t>в 2015 году, показателей, представленных предприятиями и организациями, осуществляющих свою деятельность в городе Когалыме, с учетом сложившихся тенденций.</w:t>
      </w:r>
    </w:p>
    <w:p w:rsidR="00990F27" w:rsidRPr="006B681B" w:rsidRDefault="00990F27"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Разработка прогноза осуществлялась по двум вариантам:</w:t>
      </w:r>
    </w:p>
    <w:p w:rsidR="00990F27" w:rsidRPr="006B681B" w:rsidRDefault="00990F27" w:rsidP="0022054C">
      <w:pPr>
        <w:spacing w:after="0" w:line="240" w:lineRule="auto"/>
        <w:ind w:firstLine="720"/>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 вариант 1 (консервативный) – предполагает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990F27" w:rsidRPr="006B681B" w:rsidRDefault="00990F27"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вариант 2 (</w:t>
      </w:r>
      <w:r w:rsidR="009B77F7" w:rsidRPr="006B681B">
        <w:rPr>
          <w:rFonts w:ascii="Times New Roman" w:eastAsia="Calibri" w:hAnsi="Times New Roman" w:cs="Times New Roman"/>
          <w:sz w:val="26"/>
          <w:szCs w:val="26"/>
          <w:lang w:eastAsia="ru-RU"/>
        </w:rPr>
        <w:t>базовый</w:t>
      </w:r>
      <w:r w:rsidRPr="006B681B">
        <w:rPr>
          <w:rFonts w:ascii="Times New Roman" w:eastAsia="Calibri" w:hAnsi="Times New Roman" w:cs="Times New Roman"/>
          <w:sz w:val="26"/>
          <w:szCs w:val="26"/>
          <w:lang w:eastAsia="ru-RU"/>
        </w:rPr>
        <w:t xml:space="preserve">) – </w:t>
      </w:r>
      <w:r w:rsidR="003445C7">
        <w:rPr>
          <w:rFonts w:ascii="Times New Roman" w:eastAsia="Calibri" w:hAnsi="Times New Roman" w:cs="Times New Roman"/>
          <w:sz w:val="26"/>
          <w:szCs w:val="26"/>
          <w:lang w:eastAsia="ru-RU"/>
        </w:rPr>
        <w:t>предполагает более высокие темпы социально-экономического развития по сравнению с 1 вариантом. Вариант 2 предполагает развитие экономики города Когалыма в условиях реализа</w:t>
      </w:r>
      <w:bookmarkStart w:id="0" w:name="_GoBack"/>
      <w:bookmarkEnd w:id="0"/>
      <w:r w:rsidR="003445C7">
        <w:rPr>
          <w:rFonts w:ascii="Times New Roman" w:eastAsia="Calibri" w:hAnsi="Times New Roman" w:cs="Times New Roman"/>
          <w:sz w:val="26"/>
          <w:szCs w:val="26"/>
          <w:lang w:eastAsia="ru-RU"/>
        </w:rPr>
        <w:t>ции активной муниципальной политики, направленной на стимулирование экономического роста, на улучшение инвестиционного климата, конкурентоспособности и эффективности бизнеса.</w:t>
      </w:r>
    </w:p>
    <w:p w:rsidR="00990F27" w:rsidRPr="006B681B" w:rsidRDefault="00990F27"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990F27" w:rsidRPr="006B681B" w:rsidRDefault="00990F27"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Вариант </w:t>
      </w:r>
      <w:r w:rsidR="00E368C4">
        <w:rPr>
          <w:rFonts w:ascii="Times New Roman" w:eastAsia="Calibri" w:hAnsi="Times New Roman" w:cs="Times New Roman"/>
          <w:sz w:val="26"/>
          <w:szCs w:val="26"/>
          <w:lang w:eastAsia="ru-RU"/>
        </w:rPr>
        <w:t>1</w:t>
      </w:r>
      <w:r w:rsidRPr="006B681B">
        <w:rPr>
          <w:rFonts w:ascii="Times New Roman" w:eastAsia="Calibri" w:hAnsi="Times New Roman" w:cs="Times New Roman"/>
          <w:sz w:val="26"/>
          <w:szCs w:val="26"/>
          <w:lang w:eastAsia="ru-RU"/>
        </w:rPr>
        <w:t xml:space="preserve"> предлагается рассматривать в качестве базового для разработки параметров бюджета города Когалыма на 2016 - 2018 годы.</w:t>
      </w:r>
    </w:p>
    <w:p w:rsidR="00990F27" w:rsidRPr="006B681B" w:rsidRDefault="00990F27" w:rsidP="0022054C">
      <w:pPr>
        <w:spacing w:after="0" w:line="240" w:lineRule="auto"/>
        <w:rPr>
          <w:rFonts w:ascii="Times New Roman" w:hAnsi="Times New Roman" w:cs="Times New Roman"/>
          <w:b/>
          <w:bCs/>
          <w:sz w:val="26"/>
          <w:szCs w:val="26"/>
        </w:rPr>
      </w:pPr>
    </w:p>
    <w:p w:rsidR="00F05A30" w:rsidRPr="006B681B" w:rsidRDefault="000614A1" w:rsidP="0022054C">
      <w:pPr>
        <w:pStyle w:val="1"/>
        <w:spacing w:before="0" w:line="240" w:lineRule="auto"/>
        <w:jc w:val="center"/>
        <w:rPr>
          <w:rFonts w:ascii="Times New Roman" w:eastAsia="Calibri" w:hAnsi="Times New Roman" w:cs="Times New Roman"/>
          <w:b/>
          <w:color w:val="auto"/>
          <w:sz w:val="26"/>
          <w:szCs w:val="26"/>
          <w:lang w:eastAsia="ru-RU"/>
        </w:rPr>
      </w:pPr>
      <w:bookmarkStart w:id="1" w:name="_Toc435801063"/>
      <w:r w:rsidRPr="006B681B">
        <w:rPr>
          <w:rFonts w:ascii="Times New Roman" w:eastAsia="Calibri" w:hAnsi="Times New Roman" w:cs="Times New Roman"/>
          <w:b/>
          <w:color w:val="auto"/>
          <w:sz w:val="26"/>
          <w:szCs w:val="26"/>
          <w:lang w:eastAsia="ru-RU"/>
        </w:rPr>
        <w:t>Общая оценка социально-экономической ситуации в городе Когалыме за 2014 год</w:t>
      </w:r>
      <w:bookmarkEnd w:id="1"/>
    </w:p>
    <w:p w:rsidR="00F05A30" w:rsidRPr="006B681B" w:rsidRDefault="00F05A30" w:rsidP="0022054C">
      <w:pPr>
        <w:spacing w:after="0" w:line="240" w:lineRule="auto"/>
        <w:ind w:firstLine="709"/>
        <w:jc w:val="center"/>
        <w:rPr>
          <w:rFonts w:ascii="Times New Roman" w:eastAsia="Calibri" w:hAnsi="Times New Roman" w:cs="Times New Roman"/>
          <w:b/>
          <w:sz w:val="26"/>
          <w:szCs w:val="26"/>
          <w:lang w:eastAsia="ru-RU"/>
        </w:rPr>
      </w:pPr>
    </w:p>
    <w:p w:rsidR="00F1371B" w:rsidRPr="006B681B" w:rsidRDefault="00F1371B"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Несмотря на сложившиеся экономические и политические условия, деятельность </w:t>
      </w:r>
      <w:r w:rsidR="003252AB" w:rsidRPr="006B681B">
        <w:rPr>
          <w:rFonts w:ascii="Times New Roman" w:hAnsi="Times New Roman" w:cs="Times New Roman"/>
          <w:sz w:val="26"/>
          <w:szCs w:val="26"/>
        </w:rPr>
        <w:t>Администрации</w:t>
      </w:r>
      <w:r w:rsidRPr="006B681B">
        <w:rPr>
          <w:rFonts w:ascii="Times New Roman" w:hAnsi="Times New Roman" w:cs="Times New Roman"/>
          <w:sz w:val="26"/>
          <w:szCs w:val="26"/>
        </w:rPr>
        <w:t xml:space="preserve"> города Когалыма, так</w:t>
      </w:r>
      <w:r w:rsidR="003252AB" w:rsidRPr="006B681B">
        <w:rPr>
          <w:rFonts w:ascii="Times New Roman" w:hAnsi="Times New Roman" w:cs="Times New Roman"/>
          <w:sz w:val="26"/>
          <w:szCs w:val="26"/>
        </w:rPr>
        <w:t xml:space="preserve"> </w:t>
      </w:r>
      <w:r w:rsidRPr="006B681B">
        <w:rPr>
          <w:rFonts w:ascii="Times New Roman" w:hAnsi="Times New Roman" w:cs="Times New Roman"/>
          <w:sz w:val="26"/>
          <w:szCs w:val="26"/>
        </w:rPr>
        <w:t>же</w:t>
      </w:r>
      <w:r w:rsidR="003252AB" w:rsidRPr="006B681B">
        <w:rPr>
          <w:rFonts w:ascii="Times New Roman" w:hAnsi="Times New Roman" w:cs="Times New Roman"/>
          <w:sz w:val="26"/>
          <w:szCs w:val="26"/>
        </w:rPr>
        <w:t>,</w:t>
      </w:r>
      <w:r w:rsidRPr="006B681B">
        <w:rPr>
          <w:rFonts w:ascii="Times New Roman" w:hAnsi="Times New Roman" w:cs="Times New Roman"/>
          <w:sz w:val="26"/>
          <w:szCs w:val="26"/>
        </w:rPr>
        <w:t xml:space="preserve"> как и в предыдущие годы, в 2014 году была направлена на реализацию реформы местного самоуправления, решение вопросов местного значения, обеспечение комфортности, безопасности проживания жителей города, поддержание на достигнутом уровне и дальнейшее развитие социальной сферы города.</w:t>
      </w:r>
    </w:p>
    <w:p w:rsidR="00F1371B" w:rsidRPr="006B681B" w:rsidRDefault="00F1371B"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целях реализации государственной политики по недопущению резкого повышения </w:t>
      </w:r>
      <w:r w:rsidR="000041D0">
        <w:rPr>
          <w:rFonts w:ascii="Times New Roman" w:hAnsi="Times New Roman" w:cs="Times New Roman"/>
          <w:sz w:val="26"/>
          <w:szCs w:val="26"/>
        </w:rPr>
        <w:t xml:space="preserve">розничных </w:t>
      </w:r>
      <w:r w:rsidRPr="006B681B">
        <w:rPr>
          <w:rFonts w:ascii="Times New Roman" w:hAnsi="Times New Roman" w:cs="Times New Roman"/>
          <w:sz w:val="26"/>
          <w:szCs w:val="26"/>
        </w:rPr>
        <w:t>цен проводится ряд мониторингов для определения уровня изменения цен. Все данные направляются в Правительство Ханты-Мансийского автономного округа – Югры для анализа и принятия решений на соответствующем уровне власти.</w:t>
      </w:r>
    </w:p>
    <w:p w:rsidR="00F1371B" w:rsidRPr="006B681B" w:rsidRDefault="00F1371B"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Администрацией города </w:t>
      </w:r>
      <w:r w:rsidR="003252AB" w:rsidRPr="006B681B">
        <w:rPr>
          <w:rFonts w:ascii="Times New Roman" w:hAnsi="Times New Roman" w:cs="Times New Roman"/>
          <w:sz w:val="26"/>
          <w:szCs w:val="26"/>
        </w:rPr>
        <w:t xml:space="preserve">Когалыма </w:t>
      </w:r>
      <w:r w:rsidRPr="006B681B">
        <w:rPr>
          <w:rFonts w:ascii="Times New Roman" w:hAnsi="Times New Roman" w:cs="Times New Roman"/>
          <w:sz w:val="26"/>
          <w:szCs w:val="26"/>
        </w:rPr>
        <w:t>на постоянной основе проводится работа с</w:t>
      </w:r>
      <w:r w:rsidR="003252AB" w:rsidRPr="006B681B">
        <w:rPr>
          <w:rFonts w:ascii="Times New Roman" w:hAnsi="Times New Roman" w:cs="Times New Roman"/>
          <w:sz w:val="26"/>
          <w:szCs w:val="26"/>
        </w:rPr>
        <w:t xml:space="preserve"> торговыми предприятиями города</w:t>
      </w:r>
      <w:r w:rsidRPr="006B681B">
        <w:rPr>
          <w:rFonts w:ascii="Times New Roman" w:hAnsi="Times New Roman" w:cs="Times New Roman"/>
          <w:sz w:val="26"/>
          <w:szCs w:val="26"/>
        </w:rPr>
        <w:t>. В условиях сложившейся ситуации все торговые предприятия понимают напряжённую экономическую ситуацию, сложившуюся на сегодняшний день и применяют минимальную торговую надбавку на группу социально-значимых товаров.</w:t>
      </w:r>
    </w:p>
    <w:p w:rsidR="00736828" w:rsidRPr="006B681B" w:rsidRDefault="00736828" w:rsidP="0022054C">
      <w:pPr>
        <w:autoSpaceDE w:val="0"/>
        <w:autoSpaceDN w:val="0"/>
        <w:adjustRightInd w:val="0"/>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течение отчетного периода </w:t>
      </w:r>
      <w:r w:rsidR="003252AB" w:rsidRPr="006B681B">
        <w:rPr>
          <w:rFonts w:ascii="Times New Roman" w:hAnsi="Times New Roman" w:cs="Times New Roman"/>
          <w:sz w:val="26"/>
          <w:szCs w:val="26"/>
        </w:rPr>
        <w:t>Администрацией</w:t>
      </w:r>
      <w:r w:rsidRPr="006B681B">
        <w:rPr>
          <w:rFonts w:ascii="Times New Roman" w:hAnsi="Times New Roman" w:cs="Times New Roman"/>
          <w:sz w:val="26"/>
          <w:szCs w:val="26"/>
        </w:rPr>
        <w:t xml:space="preserve"> города Когалыма обеспечена реализация ключевых направлений бюджетной и налоговой политики, содействие социальному и экономическому развитию, обеспечение устойчивости бюджетной системы города, повышение уровня и качества жизни населения города Когалыма.</w:t>
      </w:r>
    </w:p>
    <w:p w:rsidR="00736828" w:rsidRPr="006B681B" w:rsidRDefault="00736828" w:rsidP="0022054C">
      <w:pPr>
        <w:autoSpaceDE w:val="0"/>
        <w:autoSpaceDN w:val="0"/>
        <w:adjustRightInd w:val="0"/>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Среднегодовая численность населения города Когалыма в 2014 году увеличилась по сравнению с 2013 годом на 1,8% и составила 61,74 тыс. человек.</w:t>
      </w:r>
    </w:p>
    <w:p w:rsidR="00736828" w:rsidRPr="006B681B" w:rsidRDefault="00736828" w:rsidP="0022054C">
      <w:pPr>
        <w:autoSpaceDE w:val="0"/>
        <w:autoSpaceDN w:val="0"/>
        <w:adjustRightInd w:val="0"/>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Показателем развития любого общества является уровень жизни людей.</w:t>
      </w:r>
    </w:p>
    <w:p w:rsidR="00AA48AB" w:rsidRPr="006B681B" w:rsidRDefault="00AA48AB" w:rsidP="0022054C">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6B681B">
        <w:rPr>
          <w:rFonts w:ascii="Times New Roman" w:eastAsia="Calibri" w:hAnsi="Times New Roman" w:cs="Times New Roman"/>
          <w:bCs/>
          <w:sz w:val="26"/>
          <w:szCs w:val="26"/>
          <w:lang w:eastAsia="ru-RU"/>
        </w:rPr>
        <w:t>Отмечается рост потребительской активности населения, что свидетельствует об улучшении уровня жизни жителей города Когалыма. Благоприятное воздействие на социальные показатели оказало повышение денежных доходов населения.</w:t>
      </w:r>
    </w:p>
    <w:p w:rsidR="00736828" w:rsidRPr="006B681B" w:rsidRDefault="00736828"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Денежные доходы на душу населения в 2014 год</w:t>
      </w:r>
      <w:r w:rsidR="006D5390" w:rsidRPr="006B681B">
        <w:rPr>
          <w:rFonts w:ascii="Times New Roman" w:hAnsi="Times New Roman" w:cs="Times New Roman"/>
          <w:sz w:val="26"/>
          <w:szCs w:val="26"/>
        </w:rPr>
        <w:t>у</w:t>
      </w:r>
      <w:r w:rsidRPr="006B681B">
        <w:rPr>
          <w:rFonts w:ascii="Times New Roman" w:hAnsi="Times New Roman" w:cs="Times New Roman"/>
          <w:sz w:val="26"/>
          <w:szCs w:val="26"/>
        </w:rPr>
        <w:t xml:space="preserve"> составили </w:t>
      </w:r>
      <w:r w:rsidR="003252AB" w:rsidRPr="006B681B">
        <w:rPr>
          <w:rFonts w:ascii="Times New Roman" w:hAnsi="Times New Roman" w:cs="Times New Roman"/>
          <w:sz w:val="26"/>
          <w:szCs w:val="26"/>
        </w:rPr>
        <w:t>40 886,4</w:t>
      </w:r>
      <w:r w:rsidRPr="006B681B">
        <w:rPr>
          <w:rFonts w:ascii="Times New Roman" w:hAnsi="Times New Roman" w:cs="Times New Roman"/>
          <w:sz w:val="26"/>
          <w:szCs w:val="26"/>
        </w:rPr>
        <w:t xml:space="preserve"> рублей, увеличившись на </w:t>
      </w:r>
      <w:r w:rsidR="003252AB" w:rsidRPr="006B681B">
        <w:rPr>
          <w:rFonts w:ascii="Times New Roman" w:hAnsi="Times New Roman" w:cs="Times New Roman"/>
          <w:sz w:val="26"/>
          <w:szCs w:val="26"/>
        </w:rPr>
        <w:t>3,</w:t>
      </w:r>
      <w:r w:rsidR="00836BBE" w:rsidRPr="006B681B">
        <w:rPr>
          <w:rFonts w:ascii="Times New Roman" w:hAnsi="Times New Roman" w:cs="Times New Roman"/>
          <w:sz w:val="26"/>
          <w:szCs w:val="26"/>
        </w:rPr>
        <w:t>6</w:t>
      </w:r>
      <w:r w:rsidRPr="006B681B">
        <w:rPr>
          <w:rFonts w:ascii="Times New Roman" w:hAnsi="Times New Roman" w:cs="Times New Roman"/>
          <w:sz w:val="26"/>
          <w:szCs w:val="26"/>
        </w:rPr>
        <w:t>% к соответствующему периоду прошлого года.</w:t>
      </w:r>
    </w:p>
    <w:p w:rsidR="00736828" w:rsidRPr="006B681B" w:rsidRDefault="00736828"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Реальные располагаемые денежные доходы в расчёте на душу населения (скорректированные на уровень инфляции) составили </w:t>
      </w:r>
      <w:r w:rsidR="003252AB" w:rsidRPr="006B681B">
        <w:rPr>
          <w:rFonts w:ascii="Times New Roman" w:hAnsi="Times New Roman" w:cs="Times New Roman"/>
          <w:sz w:val="26"/>
          <w:szCs w:val="26"/>
        </w:rPr>
        <w:t>95,7</w:t>
      </w:r>
      <w:r w:rsidRPr="006B681B">
        <w:rPr>
          <w:rFonts w:ascii="Times New Roman" w:hAnsi="Times New Roman" w:cs="Times New Roman"/>
          <w:sz w:val="26"/>
          <w:szCs w:val="26"/>
        </w:rPr>
        <w:t>%.</w:t>
      </w:r>
    </w:p>
    <w:p w:rsidR="00736828" w:rsidRPr="006B681B" w:rsidRDefault="00736828"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Достигнутый уровень денежных доходов населения позволяет обеспечивать более 3 бюджетов прожиточного минимума.</w:t>
      </w:r>
    </w:p>
    <w:p w:rsidR="00736828" w:rsidRPr="006B681B" w:rsidRDefault="00736828"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Среднемесячная начисленная заработная плата по город</w:t>
      </w:r>
      <w:r w:rsidR="006D5390" w:rsidRPr="006B681B">
        <w:rPr>
          <w:rFonts w:ascii="Times New Roman" w:hAnsi="Times New Roman" w:cs="Times New Roman"/>
          <w:sz w:val="26"/>
          <w:szCs w:val="26"/>
        </w:rPr>
        <w:t>у</w:t>
      </w:r>
      <w:r w:rsidRPr="006B681B">
        <w:rPr>
          <w:rFonts w:ascii="Times New Roman" w:hAnsi="Times New Roman" w:cs="Times New Roman"/>
          <w:sz w:val="26"/>
          <w:szCs w:val="26"/>
        </w:rPr>
        <w:t xml:space="preserve"> Когалым</w:t>
      </w:r>
      <w:r w:rsidR="006D5390" w:rsidRPr="006B681B">
        <w:rPr>
          <w:rFonts w:ascii="Times New Roman" w:hAnsi="Times New Roman" w:cs="Times New Roman"/>
          <w:sz w:val="26"/>
          <w:szCs w:val="26"/>
        </w:rPr>
        <w:t>у</w:t>
      </w:r>
      <w:r w:rsidRPr="006B681B">
        <w:rPr>
          <w:rFonts w:ascii="Times New Roman" w:hAnsi="Times New Roman" w:cs="Times New Roman"/>
          <w:sz w:val="26"/>
          <w:szCs w:val="26"/>
        </w:rPr>
        <w:t xml:space="preserve"> на 1 работника </w:t>
      </w:r>
      <w:r w:rsidR="006D5390" w:rsidRPr="006B681B">
        <w:rPr>
          <w:rFonts w:ascii="Times New Roman" w:hAnsi="Times New Roman" w:cs="Times New Roman"/>
          <w:sz w:val="26"/>
          <w:szCs w:val="26"/>
        </w:rPr>
        <w:t>в</w:t>
      </w:r>
      <w:r w:rsidRPr="006B681B">
        <w:rPr>
          <w:rFonts w:ascii="Times New Roman" w:hAnsi="Times New Roman" w:cs="Times New Roman"/>
          <w:sz w:val="26"/>
          <w:szCs w:val="26"/>
        </w:rPr>
        <w:t xml:space="preserve"> 2014 год</w:t>
      </w:r>
      <w:r w:rsidR="006D5390" w:rsidRPr="006B681B">
        <w:rPr>
          <w:rFonts w:ascii="Times New Roman" w:hAnsi="Times New Roman" w:cs="Times New Roman"/>
          <w:sz w:val="26"/>
          <w:szCs w:val="26"/>
        </w:rPr>
        <w:t>у</w:t>
      </w:r>
      <w:r w:rsidRPr="006B681B">
        <w:rPr>
          <w:rFonts w:ascii="Times New Roman" w:hAnsi="Times New Roman" w:cs="Times New Roman"/>
          <w:sz w:val="26"/>
          <w:szCs w:val="26"/>
        </w:rPr>
        <w:t xml:space="preserve"> составила </w:t>
      </w:r>
      <w:r w:rsidR="003252AB" w:rsidRPr="006B681B">
        <w:rPr>
          <w:rFonts w:ascii="Times New Roman" w:hAnsi="Times New Roman" w:cs="Times New Roman"/>
          <w:sz w:val="26"/>
          <w:szCs w:val="26"/>
        </w:rPr>
        <w:t>54 428,6</w:t>
      </w:r>
      <w:r w:rsidRPr="006B681B">
        <w:rPr>
          <w:rFonts w:ascii="Times New Roman" w:hAnsi="Times New Roman" w:cs="Times New Roman"/>
          <w:sz w:val="26"/>
          <w:szCs w:val="26"/>
        </w:rPr>
        <w:t xml:space="preserve"> рублей (прирост к соответствующему периоду прошлого года </w:t>
      </w:r>
      <w:r w:rsidR="00836BBE" w:rsidRPr="006B681B">
        <w:rPr>
          <w:rFonts w:ascii="Times New Roman" w:hAnsi="Times New Roman" w:cs="Times New Roman"/>
          <w:sz w:val="26"/>
          <w:szCs w:val="26"/>
        </w:rPr>
        <w:t>6,0</w:t>
      </w:r>
      <w:r w:rsidRPr="006B681B">
        <w:rPr>
          <w:rFonts w:ascii="Times New Roman" w:hAnsi="Times New Roman" w:cs="Times New Roman"/>
          <w:sz w:val="26"/>
          <w:szCs w:val="26"/>
        </w:rPr>
        <w:t>%).</w:t>
      </w:r>
    </w:p>
    <w:p w:rsidR="00736828" w:rsidRPr="006B681B" w:rsidRDefault="00736828"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городе Когалыме органы местного самоуправления совместными усилиями с Правительством автономного округа, муниципальными учреждениями обеспечивают решение задачи по доведению заработной платы отдельных категорий работников до целевого ориентира, обозначенного Указом Президента Российской Федерации №597 от 7 мая 2012 года «О мероприятиях по реализации государственной социальной политики».</w:t>
      </w:r>
    </w:p>
    <w:p w:rsidR="00736828" w:rsidRPr="006B681B" w:rsidRDefault="00736828"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результате предпринятых мер размер среднемесячной заработной платы работников бюджетных учреждений за январь-декабрь 2014 года составил:</w:t>
      </w:r>
    </w:p>
    <w:p w:rsidR="003E4DA5" w:rsidRPr="006B681B" w:rsidRDefault="003E4DA5"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 педагогические работники учреждений дополнительного образования детей – </w:t>
      </w:r>
      <w:r w:rsidR="002E1D37">
        <w:rPr>
          <w:rFonts w:ascii="Times New Roman" w:hAnsi="Times New Roman" w:cs="Times New Roman"/>
          <w:sz w:val="26"/>
          <w:szCs w:val="26"/>
        </w:rPr>
        <w:t xml:space="preserve">        </w:t>
      </w:r>
      <w:r w:rsidRPr="006B681B">
        <w:rPr>
          <w:rFonts w:ascii="Times New Roman" w:hAnsi="Times New Roman" w:cs="Times New Roman"/>
          <w:sz w:val="26"/>
          <w:szCs w:val="26"/>
        </w:rPr>
        <w:t>50 541 рубль или 101,0% к аналогичному периоду прошлого года;</w:t>
      </w:r>
    </w:p>
    <w:p w:rsidR="003E4DA5" w:rsidRPr="006B681B" w:rsidRDefault="003E4DA5"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 педагогические работники образовательных учреждений общего образования –         </w:t>
      </w:r>
      <w:r w:rsidR="002E1D37">
        <w:rPr>
          <w:rFonts w:ascii="Times New Roman" w:hAnsi="Times New Roman" w:cs="Times New Roman"/>
          <w:sz w:val="26"/>
          <w:szCs w:val="26"/>
        </w:rPr>
        <w:t>62 796,3</w:t>
      </w:r>
      <w:r w:rsidRPr="006B681B">
        <w:rPr>
          <w:rFonts w:ascii="Times New Roman" w:hAnsi="Times New Roman" w:cs="Times New Roman"/>
          <w:sz w:val="26"/>
          <w:szCs w:val="26"/>
        </w:rPr>
        <w:t xml:space="preserve"> рублей или </w:t>
      </w:r>
      <w:r w:rsidR="002E1D37">
        <w:rPr>
          <w:rFonts w:ascii="Times New Roman" w:hAnsi="Times New Roman" w:cs="Times New Roman"/>
          <w:sz w:val="26"/>
          <w:szCs w:val="26"/>
        </w:rPr>
        <w:t>104,8</w:t>
      </w:r>
      <w:r w:rsidRPr="006B681B">
        <w:rPr>
          <w:rFonts w:ascii="Times New Roman" w:hAnsi="Times New Roman" w:cs="Times New Roman"/>
          <w:sz w:val="26"/>
          <w:szCs w:val="26"/>
        </w:rPr>
        <w:t>% к аналогичному периоду прошлого года;</w:t>
      </w:r>
    </w:p>
    <w:p w:rsidR="003E4DA5" w:rsidRPr="006B681B" w:rsidRDefault="003E4DA5"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 педагогические работники дошкольных образовательных учреждений – </w:t>
      </w:r>
      <w:r w:rsidR="002E1D37">
        <w:rPr>
          <w:rFonts w:ascii="Times New Roman" w:hAnsi="Times New Roman" w:cs="Times New Roman"/>
          <w:sz w:val="26"/>
          <w:szCs w:val="26"/>
        </w:rPr>
        <w:t>50 235</w:t>
      </w:r>
      <w:r w:rsidRPr="006B681B">
        <w:rPr>
          <w:rFonts w:ascii="Times New Roman" w:hAnsi="Times New Roman" w:cs="Times New Roman"/>
          <w:sz w:val="26"/>
          <w:szCs w:val="26"/>
        </w:rPr>
        <w:t xml:space="preserve"> рублей или </w:t>
      </w:r>
      <w:r w:rsidR="002E1D37">
        <w:rPr>
          <w:rFonts w:ascii="Times New Roman" w:hAnsi="Times New Roman" w:cs="Times New Roman"/>
          <w:sz w:val="26"/>
          <w:szCs w:val="26"/>
        </w:rPr>
        <w:t>109,2</w:t>
      </w:r>
      <w:r w:rsidRPr="006B681B">
        <w:rPr>
          <w:rFonts w:ascii="Times New Roman" w:hAnsi="Times New Roman" w:cs="Times New Roman"/>
          <w:sz w:val="26"/>
          <w:szCs w:val="26"/>
        </w:rPr>
        <w:t>% к аналогичному периоду прошлого года;</w:t>
      </w:r>
    </w:p>
    <w:p w:rsidR="003E4DA5" w:rsidRPr="006B681B" w:rsidRDefault="003E4DA5"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 в сфере культуры – </w:t>
      </w:r>
      <w:r w:rsidR="001F673B">
        <w:rPr>
          <w:rFonts w:ascii="Times New Roman" w:hAnsi="Times New Roman" w:cs="Times New Roman"/>
          <w:sz w:val="26"/>
          <w:szCs w:val="26"/>
        </w:rPr>
        <w:t>41 745,2 рублей</w:t>
      </w:r>
      <w:r w:rsidRPr="006B681B">
        <w:rPr>
          <w:rFonts w:ascii="Times New Roman" w:hAnsi="Times New Roman" w:cs="Times New Roman"/>
          <w:sz w:val="26"/>
          <w:szCs w:val="26"/>
        </w:rPr>
        <w:t xml:space="preserve"> или </w:t>
      </w:r>
      <w:r w:rsidR="001F673B">
        <w:rPr>
          <w:rFonts w:ascii="Times New Roman" w:hAnsi="Times New Roman" w:cs="Times New Roman"/>
          <w:sz w:val="26"/>
          <w:szCs w:val="26"/>
        </w:rPr>
        <w:t>110,2</w:t>
      </w:r>
      <w:r w:rsidRPr="006B681B">
        <w:rPr>
          <w:rFonts w:ascii="Times New Roman" w:hAnsi="Times New Roman" w:cs="Times New Roman"/>
          <w:sz w:val="26"/>
          <w:szCs w:val="26"/>
        </w:rPr>
        <w:t>% к аналогичному периоду прошлого года.</w:t>
      </w:r>
    </w:p>
    <w:p w:rsidR="00736828" w:rsidRPr="006B681B" w:rsidRDefault="00AA48AB" w:rsidP="0022054C">
      <w:pPr>
        <w:spacing w:after="0" w:line="240" w:lineRule="auto"/>
        <w:ind w:firstLine="709"/>
        <w:jc w:val="both"/>
        <w:rPr>
          <w:rFonts w:ascii="Times New Roman" w:hAnsi="Times New Roman" w:cs="Times New Roman"/>
          <w:sz w:val="26"/>
          <w:szCs w:val="26"/>
        </w:rPr>
      </w:pPr>
      <w:r w:rsidRPr="006B681B">
        <w:rPr>
          <w:rFonts w:ascii="Times New Roman" w:eastAsia="Calibri" w:hAnsi="Times New Roman" w:cs="Times New Roman"/>
          <w:bCs/>
          <w:sz w:val="26"/>
          <w:szCs w:val="26"/>
          <w:lang w:eastAsia="ru-RU"/>
        </w:rPr>
        <w:t xml:space="preserve">В городе сохраняется стабильная ситуация на рынке труда. Уровень безработицы на протяжении последних лет имеет одно из самых низких значений в автономном округе. </w:t>
      </w:r>
      <w:r w:rsidR="00736828" w:rsidRPr="006B681B">
        <w:rPr>
          <w:rFonts w:ascii="Times New Roman" w:hAnsi="Times New Roman" w:cs="Times New Roman"/>
          <w:sz w:val="26"/>
          <w:szCs w:val="26"/>
        </w:rPr>
        <w:t xml:space="preserve">В рамках реализации мероприятий по стабилизации ситуации на рынке труда численность зарегистрированных безработных на 1 января 2015 года уменьшилась на 4,4% к 1 января 2014 года и составила 131 человек. </w:t>
      </w:r>
    </w:p>
    <w:p w:rsidR="00736828" w:rsidRPr="006B681B" w:rsidRDefault="00736828" w:rsidP="0022054C">
      <w:pPr>
        <w:pStyle w:val="af1"/>
        <w:ind w:firstLine="709"/>
        <w:jc w:val="both"/>
        <w:rPr>
          <w:rFonts w:ascii="Times New Roman" w:hAnsi="Times New Roman" w:cs="Times New Roman"/>
          <w:sz w:val="26"/>
          <w:szCs w:val="26"/>
        </w:rPr>
      </w:pPr>
      <w:r w:rsidRPr="006B681B">
        <w:rPr>
          <w:rFonts w:ascii="Times New Roman" w:hAnsi="Times New Roman" w:cs="Times New Roman"/>
          <w:sz w:val="26"/>
          <w:szCs w:val="26"/>
        </w:rPr>
        <w:t>Всего в 2014 году в рамках муниципальной и государственной программ по содействию занятости населения трудоустроено 1 090 человек.</w:t>
      </w:r>
    </w:p>
    <w:p w:rsidR="00736828" w:rsidRPr="006B681B" w:rsidRDefault="00736828"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2014 году увеличилось количество субъектов малого и среднего предпринимательства</w:t>
      </w:r>
      <w:r w:rsidR="00981D84" w:rsidRPr="006B681B">
        <w:rPr>
          <w:rFonts w:ascii="Times New Roman" w:hAnsi="Times New Roman" w:cs="Times New Roman"/>
          <w:sz w:val="26"/>
          <w:szCs w:val="26"/>
        </w:rPr>
        <w:t xml:space="preserve"> (с учетом индивидуальных предпринимателей)</w:t>
      </w:r>
      <w:r w:rsidRPr="006B681B">
        <w:rPr>
          <w:rFonts w:ascii="Times New Roman" w:hAnsi="Times New Roman" w:cs="Times New Roman"/>
          <w:sz w:val="26"/>
          <w:szCs w:val="26"/>
        </w:rPr>
        <w:t xml:space="preserve"> по сравнению с 2013 годом на </w:t>
      </w:r>
      <w:r w:rsidR="00AA48AB" w:rsidRPr="006B681B">
        <w:rPr>
          <w:rFonts w:ascii="Times New Roman" w:hAnsi="Times New Roman" w:cs="Times New Roman"/>
          <w:sz w:val="26"/>
          <w:szCs w:val="26"/>
        </w:rPr>
        <w:t>5,4</w:t>
      </w:r>
      <w:r w:rsidRPr="006B681B">
        <w:rPr>
          <w:rFonts w:ascii="Times New Roman" w:hAnsi="Times New Roman" w:cs="Times New Roman"/>
          <w:sz w:val="26"/>
          <w:szCs w:val="26"/>
        </w:rPr>
        <w:t xml:space="preserve">% и составило </w:t>
      </w:r>
      <w:r w:rsidR="00AA48AB" w:rsidRPr="006B681B">
        <w:rPr>
          <w:rFonts w:ascii="Times New Roman" w:hAnsi="Times New Roman" w:cs="Times New Roman"/>
          <w:sz w:val="26"/>
          <w:szCs w:val="26"/>
        </w:rPr>
        <w:t>1 836</w:t>
      </w:r>
      <w:r w:rsidRPr="006B681B">
        <w:rPr>
          <w:rFonts w:ascii="Times New Roman" w:hAnsi="Times New Roman" w:cs="Times New Roman"/>
          <w:sz w:val="26"/>
          <w:szCs w:val="26"/>
        </w:rPr>
        <w:t xml:space="preserve"> субъект</w:t>
      </w:r>
      <w:r w:rsidR="00AA48AB" w:rsidRPr="006B681B">
        <w:rPr>
          <w:rFonts w:ascii="Times New Roman" w:hAnsi="Times New Roman" w:cs="Times New Roman"/>
          <w:sz w:val="26"/>
          <w:szCs w:val="26"/>
        </w:rPr>
        <w:t>ов</w:t>
      </w:r>
      <w:r w:rsidRPr="006B681B">
        <w:rPr>
          <w:rFonts w:ascii="Times New Roman" w:hAnsi="Times New Roman" w:cs="Times New Roman"/>
          <w:sz w:val="26"/>
          <w:szCs w:val="26"/>
        </w:rPr>
        <w:t xml:space="preserve"> (2013 год – 1 742 субъекта). </w:t>
      </w:r>
    </w:p>
    <w:p w:rsidR="00736828" w:rsidRPr="006B681B" w:rsidRDefault="00736828" w:rsidP="0022054C">
      <w:pPr>
        <w:tabs>
          <w:tab w:val="left" w:pos="0"/>
        </w:tabs>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2014 году была продолжена реконструкция здания поликлиники на 850 посещений (7-миэтажной части), которая осуществляется в рамках Соглашения о сотрудничестве между Правительством Ханты–Мансийского автономного округа - Югры и </w:t>
      </w:r>
      <w:r w:rsidR="009801EE">
        <w:rPr>
          <w:rFonts w:ascii="Times New Roman" w:hAnsi="Times New Roman" w:cs="Times New Roman"/>
          <w:sz w:val="26"/>
          <w:szCs w:val="26"/>
        </w:rPr>
        <w:t>публичным</w:t>
      </w:r>
      <w:r w:rsidRPr="006B681B">
        <w:rPr>
          <w:rFonts w:ascii="Times New Roman" w:hAnsi="Times New Roman" w:cs="Times New Roman"/>
          <w:sz w:val="26"/>
          <w:szCs w:val="26"/>
        </w:rPr>
        <w:t xml:space="preserve"> акционерным обществом Нефтяная компания «ЛУКОЙЛ». В 2015 году планируется завершить реконструкцию данного объекта. </w:t>
      </w:r>
    </w:p>
    <w:p w:rsidR="00736828" w:rsidRPr="006B681B" w:rsidRDefault="00736828" w:rsidP="0022054C">
      <w:pPr>
        <w:tabs>
          <w:tab w:val="left" w:pos="0"/>
        </w:tabs>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Завершена реконструкция здания начальной общеобразовательной школы №4 по адресу ул. Набережная, 4, под размещение поликлиники профосмотров, ввод в эксплуатацию осуществлен в декабре 2014 года, пропускная способность составляет 250 человек в смену.</w:t>
      </w:r>
    </w:p>
    <w:p w:rsidR="00736828" w:rsidRPr="006B681B" w:rsidRDefault="00736828"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2014 году введено в эксплуатацию 15 063 кв. м жилья, в том числе 6 многоквартирных домов площадью 14 740,1 кв.м и 3 индивидуальных жилых дома площадью 322,9 кв.м., что выше показателя 2013 года на 40,9% (2013 год – 10 693,2 кв.м).</w:t>
      </w:r>
    </w:p>
    <w:p w:rsidR="00736828" w:rsidRPr="006B681B" w:rsidRDefault="00736828" w:rsidP="0022054C">
      <w:pPr>
        <w:shd w:val="clear" w:color="auto" w:fill="FFFFFF"/>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2014 году отмечалась стабильная работа предприятий жилищно-коммунального комплекса. Своевременная и качественная подготовка к осенне-зимнему периоду 2013 - 2014 годов обеспечила надежное и безаварийное тепло -, водо - и электроснабжение потребителей города в зимний период.</w:t>
      </w:r>
    </w:p>
    <w:p w:rsidR="00981D84" w:rsidRPr="006B681B" w:rsidRDefault="00981D84" w:rsidP="0022054C">
      <w:pPr>
        <w:shd w:val="clear" w:color="auto" w:fill="FFFFFF"/>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Принимаемые меры по реализации приоритетных направлений экономической политики позволяют по многим показателям ожидать стабильных темпов развития и в 2015 году.</w:t>
      </w:r>
    </w:p>
    <w:p w:rsidR="003D23B3" w:rsidRPr="006B681B" w:rsidRDefault="003D23B3" w:rsidP="0022054C">
      <w:pPr>
        <w:spacing w:after="0" w:line="240" w:lineRule="auto"/>
        <w:jc w:val="both"/>
        <w:rPr>
          <w:rFonts w:ascii="Times New Roman" w:eastAsia="Calibri" w:hAnsi="Times New Roman" w:cs="Times New Roman"/>
          <w:sz w:val="26"/>
          <w:szCs w:val="26"/>
          <w:lang w:eastAsia="ru-RU"/>
        </w:rPr>
      </w:pPr>
    </w:p>
    <w:p w:rsidR="00F05A30" w:rsidRPr="006B681B" w:rsidRDefault="00F05A30" w:rsidP="0022054C">
      <w:pPr>
        <w:spacing w:after="0" w:line="240" w:lineRule="auto"/>
        <w:jc w:val="center"/>
        <w:rPr>
          <w:rFonts w:ascii="Times New Roman" w:hAnsi="Times New Roman" w:cs="Times New Roman"/>
          <w:sz w:val="26"/>
          <w:szCs w:val="26"/>
        </w:rPr>
      </w:pPr>
      <w:r w:rsidRPr="006B681B">
        <w:rPr>
          <w:rFonts w:ascii="Times New Roman" w:hAnsi="Times New Roman" w:cs="Times New Roman"/>
          <w:sz w:val="26"/>
          <w:szCs w:val="26"/>
        </w:rPr>
        <w:t xml:space="preserve">Основные показатели развития экономики города </w:t>
      </w:r>
    </w:p>
    <w:p w:rsidR="00F05A30" w:rsidRPr="006B681B" w:rsidRDefault="00F05A30" w:rsidP="0022054C">
      <w:pPr>
        <w:spacing w:after="0" w:line="240" w:lineRule="auto"/>
        <w:jc w:val="center"/>
        <w:rPr>
          <w:rFonts w:ascii="Times New Roman" w:hAnsi="Times New Roman" w:cs="Times New Roman"/>
          <w:sz w:val="26"/>
          <w:szCs w:val="26"/>
        </w:rPr>
      </w:pPr>
      <w:r w:rsidRPr="006B681B">
        <w:rPr>
          <w:rFonts w:ascii="Times New Roman" w:hAnsi="Times New Roman" w:cs="Times New Roman"/>
          <w:sz w:val="26"/>
          <w:szCs w:val="26"/>
        </w:rPr>
        <w:t>в 201</w:t>
      </w:r>
      <w:r w:rsidR="00A64000" w:rsidRPr="006B681B">
        <w:rPr>
          <w:rFonts w:ascii="Times New Roman" w:hAnsi="Times New Roman" w:cs="Times New Roman"/>
          <w:sz w:val="26"/>
          <w:szCs w:val="26"/>
        </w:rPr>
        <w:t>4</w:t>
      </w:r>
      <w:r w:rsidRPr="006B681B">
        <w:rPr>
          <w:rFonts w:ascii="Times New Roman" w:hAnsi="Times New Roman" w:cs="Times New Roman"/>
          <w:sz w:val="26"/>
          <w:szCs w:val="26"/>
        </w:rPr>
        <w:t>-201</w:t>
      </w:r>
      <w:r w:rsidR="00A64000" w:rsidRPr="006B681B">
        <w:rPr>
          <w:rFonts w:ascii="Times New Roman" w:hAnsi="Times New Roman" w:cs="Times New Roman"/>
          <w:sz w:val="26"/>
          <w:szCs w:val="26"/>
        </w:rPr>
        <w:t>8</w:t>
      </w:r>
      <w:r w:rsidRPr="006B681B">
        <w:rPr>
          <w:rFonts w:ascii="Times New Roman" w:hAnsi="Times New Roman" w:cs="Times New Roman"/>
          <w:sz w:val="26"/>
          <w:szCs w:val="26"/>
        </w:rPr>
        <w:t xml:space="preserve"> годах</w:t>
      </w:r>
    </w:p>
    <w:p w:rsidR="00F05A30" w:rsidRPr="006B681B" w:rsidRDefault="00F05A30" w:rsidP="0022054C">
      <w:pPr>
        <w:spacing w:after="0" w:line="240" w:lineRule="auto"/>
        <w:jc w:val="both"/>
        <w:rPr>
          <w:rFonts w:ascii="Times New Roman" w:hAnsi="Times New Roman" w:cs="Times New Roman"/>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09"/>
        <w:gridCol w:w="1275"/>
        <w:gridCol w:w="1276"/>
        <w:gridCol w:w="1276"/>
        <w:gridCol w:w="1276"/>
        <w:gridCol w:w="1276"/>
        <w:gridCol w:w="1275"/>
      </w:tblGrid>
      <w:tr w:rsidR="009B369A" w:rsidRPr="006B681B" w:rsidTr="00AE6EE8">
        <w:tc>
          <w:tcPr>
            <w:tcW w:w="2093" w:type="dxa"/>
            <w:tcBorders>
              <w:top w:val="single" w:sz="4" w:space="0" w:color="auto"/>
              <w:left w:val="single" w:sz="4" w:space="0" w:color="auto"/>
              <w:bottom w:val="single" w:sz="4" w:space="0" w:color="auto"/>
              <w:right w:val="single" w:sz="4" w:space="0" w:color="auto"/>
            </w:tcBorders>
          </w:tcPr>
          <w:p w:rsidR="00674CF2" w:rsidRPr="006B681B" w:rsidRDefault="00674CF2"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Показатели</w:t>
            </w:r>
          </w:p>
        </w:tc>
        <w:tc>
          <w:tcPr>
            <w:tcW w:w="709" w:type="dxa"/>
            <w:tcBorders>
              <w:top w:val="single" w:sz="4" w:space="0" w:color="auto"/>
              <w:left w:val="single" w:sz="4" w:space="0" w:color="auto"/>
              <w:bottom w:val="single" w:sz="4" w:space="0" w:color="auto"/>
              <w:right w:val="single" w:sz="4" w:space="0" w:color="auto"/>
            </w:tcBorders>
          </w:tcPr>
          <w:p w:rsidR="00674CF2" w:rsidRPr="006B681B" w:rsidRDefault="00674CF2"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Ед.</w:t>
            </w:r>
          </w:p>
          <w:p w:rsidR="00674CF2" w:rsidRPr="006B681B" w:rsidRDefault="00674CF2"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изм.</w:t>
            </w:r>
          </w:p>
        </w:tc>
        <w:tc>
          <w:tcPr>
            <w:tcW w:w="1275" w:type="dxa"/>
            <w:tcBorders>
              <w:top w:val="single" w:sz="4" w:space="0" w:color="auto"/>
              <w:left w:val="single" w:sz="4" w:space="0" w:color="auto"/>
              <w:bottom w:val="single" w:sz="4" w:space="0" w:color="auto"/>
              <w:right w:val="single" w:sz="4" w:space="0" w:color="auto"/>
            </w:tcBorders>
          </w:tcPr>
          <w:p w:rsidR="00674CF2" w:rsidRPr="006B681B" w:rsidRDefault="00674CF2" w:rsidP="0022054C">
            <w:pPr>
              <w:spacing w:after="0" w:line="240" w:lineRule="auto"/>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674CF2" w:rsidRPr="006B681B" w:rsidRDefault="00674CF2"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201</w:t>
            </w:r>
            <w:r w:rsidR="00A64000" w:rsidRPr="006B681B">
              <w:rPr>
                <w:rFonts w:ascii="Times New Roman" w:hAnsi="Times New Roman" w:cs="Times New Roman"/>
                <w:sz w:val="23"/>
                <w:szCs w:val="23"/>
              </w:rPr>
              <w:t>4</w:t>
            </w:r>
            <w:r w:rsidRPr="006B681B">
              <w:rPr>
                <w:rFonts w:ascii="Times New Roman" w:hAnsi="Times New Roman" w:cs="Times New Roman"/>
                <w:sz w:val="23"/>
                <w:szCs w:val="23"/>
              </w:rPr>
              <w:t xml:space="preserve"> (отчет)</w:t>
            </w:r>
          </w:p>
        </w:tc>
        <w:tc>
          <w:tcPr>
            <w:tcW w:w="1276" w:type="dxa"/>
            <w:tcBorders>
              <w:top w:val="single" w:sz="4" w:space="0" w:color="auto"/>
              <w:left w:val="single" w:sz="4" w:space="0" w:color="auto"/>
              <w:bottom w:val="single" w:sz="4" w:space="0" w:color="auto"/>
              <w:right w:val="single" w:sz="4" w:space="0" w:color="auto"/>
            </w:tcBorders>
          </w:tcPr>
          <w:p w:rsidR="00674CF2" w:rsidRPr="006B681B" w:rsidRDefault="00674CF2"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201</w:t>
            </w:r>
            <w:r w:rsidR="00A64000" w:rsidRPr="006B681B">
              <w:rPr>
                <w:rFonts w:ascii="Times New Roman" w:hAnsi="Times New Roman" w:cs="Times New Roman"/>
                <w:sz w:val="23"/>
                <w:szCs w:val="23"/>
              </w:rPr>
              <w:t>5</w:t>
            </w:r>
            <w:r w:rsidRPr="006B681B">
              <w:rPr>
                <w:rFonts w:ascii="Times New Roman" w:hAnsi="Times New Roman" w:cs="Times New Roman"/>
                <w:sz w:val="23"/>
                <w:szCs w:val="23"/>
              </w:rPr>
              <w:t xml:space="preserve"> (оценка)</w:t>
            </w:r>
          </w:p>
        </w:tc>
        <w:tc>
          <w:tcPr>
            <w:tcW w:w="1276" w:type="dxa"/>
            <w:tcBorders>
              <w:top w:val="single" w:sz="4" w:space="0" w:color="auto"/>
              <w:left w:val="single" w:sz="4" w:space="0" w:color="auto"/>
              <w:bottom w:val="single" w:sz="4" w:space="0" w:color="auto"/>
              <w:right w:val="single" w:sz="4" w:space="0" w:color="auto"/>
            </w:tcBorders>
          </w:tcPr>
          <w:p w:rsidR="00674CF2" w:rsidRPr="006B681B" w:rsidRDefault="00674CF2"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201</w:t>
            </w:r>
            <w:r w:rsidR="00A64000" w:rsidRPr="006B681B">
              <w:rPr>
                <w:rFonts w:ascii="Times New Roman" w:hAnsi="Times New Roman" w:cs="Times New Roman"/>
                <w:sz w:val="23"/>
                <w:szCs w:val="23"/>
              </w:rPr>
              <w:t>6</w:t>
            </w:r>
            <w:r w:rsidRPr="006B681B">
              <w:rPr>
                <w:rFonts w:ascii="Times New Roman" w:hAnsi="Times New Roman" w:cs="Times New Roman"/>
                <w:sz w:val="23"/>
                <w:szCs w:val="23"/>
              </w:rPr>
              <w:t xml:space="preserve"> (прогноз)</w:t>
            </w:r>
          </w:p>
        </w:tc>
        <w:tc>
          <w:tcPr>
            <w:tcW w:w="1276" w:type="dxa"/>
            <w:tcBorders>
              <w:top w:val="single" w:sz="4" w:space="0" w:color="auto"/>
              <w:left w:val="single" w:sz="4" w:space="0" w:color="auto"/>
              <w:bottom w:val="single" w:sz="4" w:space="0" w:color="auto"/>
              <w:right w:val="single" w:sz="4" w:space="0" w:color="auto"/>
            </w:tcBorders>
          </w:tcPr>
          <w:p w:rsidR="00674CF2" w:rsidRPr="006B681B" w:rsidRDefault="00674CF2"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201</w:t>
            </w:r>
            <w:r w:rsidR="00A64000" w:rsidRPr="006B681B">
              <w:rPr>
                <w:rFonts w:ascii="Times New Roman" w:hAnsi="Times New Roman" w:cs="Times New Roman"/>
                <w:sz w:val="23"/>
                <w:szCs w:val="23"/>
              </w:rPr>
              <w:t>7</w:t>
            </w:r>
            <w:r w:rsidRPr="006B681B">
              <w:rPr>
                <w:rFonts w:ascii="Times New Roman" w:hAnsi="Times New Roman" w:cs="Times New Roman"/>
                <w:sz w:val="23"/>
                <w:szCs w:val="23"/>
              </w:rPr>
              <w:t xml:space="preserve"> (прогноз)</w:t>
            </w:r>
          </w:p>
        </w:tc>
        <w:tc>
          <w:tcPr>
            <w:tcW w:w="1275" w:type="dxa"/>
            <w:tcBorders>
              <w:top w:val="single" w:sz="4" w:space="0" w:color="auto"/>
              <w:left w:val="single" w:sz="4" w:space="0" w:color="auto"/>
              <w:bottom w:val="single" w:sz="4" w:space="0" w:color="auto"/>
              <w:right w:val="single" w:sz="4" w:space="0" w:color="auto"/>
            </w:tcBorders>
          </w:tcPr>
          <w:p w:rsidR="00674CF2" w:rsidRPr="006B681B" w:rsidRDefault="00674CF2"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201</w:t>
            </w:r>
            <w:r w:rsidR="00A64000" w:rsidRPr="006B681B">
              <w:rPr>
                <w:rFonts w:ascii="Times New Roman" w:hAnsi="Times New Roman" w:cs="Times New Roman"/>
                <w:sz w:val="23"/>
                <w:szCs w:val="23"/>
              </w:rPr>
              <w:t>8</w:t>
            </w:r>
            <w:r w:rsidRPr="006B681B">
              <w:rPr>
                <w:rFonts w:ascii="Times New Roman" w:hAnsi="Times New Roman" w:cs="Times New Roman"/>
                <w:sz w:val="23"/>
                <w:szCs w:val="23"/>
              </w:rPr>
              <w:t xml:space="preserve"> (прогноз)</w:t>
            </w:r>
          </w:p>
        </w:tc>
      </w:tr>
      <w:tr w:rsidR="009B369A" w:rsidRPr="006B681B" w:rsidTr="00AE6EE8">
        <w:trPr>
          <w:trHeight w:val="705"/>
        </w:trPr>
        <w:tc>
          <w:tcPr>
            <w:tcW w:w="2093" w:type="dxa"/>
            <w:vMerge w:val="restart"/>
            <w:tcBorders>
              <w:top w:val="single" w:sz="4" w:space="0" w:color="auto"/>
              <w:left w:val="single" w:sz="4" w:space="0" w:color="auto"/>
              <w:right w:val="single" w:sz="4" w:space="0" w:color="auto"/>
            </w:tcBorders>
          </w:tcPr>
          <w:p w:rsidR="005D141E" w:rsidRPr="006B681B" w:rsidRDefault="005D141E" w:rsidP="0022054C">
            <w:pPr>
              <w:spacing w:after="0" w:line="240" w:lineRule="auto"/>
              <w:jc w:val="both"/>
              <w:rPr>
                <w:rFonts w:ascii="Times New Roman" w:hAnsi="Times New Roman" w:cs="Times New Roman"/>
                <w:sz w:val="23"/>
                <w:szCs w:val="23"/>
              </w:rPr>
            </w:pPr>
            <w:r w:rsidRPr="006B681B">
              <w:rPr>
                <w:rFonts w:ascii="Times New Roman" w:hAnsi="Times New Roman" w:cs="Times New Roman"/>
                <w:sz w:val="23"/>
                <w:szCs w:val="23"/>
              </w:rPr>
              <w:t>Индекс потребительских цен (декабрь к декабрю предыдущего года)</w:t>
            </w:r>
          </w:p>
        </w:tc>
        <w:tc>
          <w:tcPr>
            <w:tcW w:w="709" w:type="dxa"/>
            <w:vMerge w:val="restart"/>
            <w:tcBorders>
              <w:top w:val="single" w:sz="4" w:space="0" w:color="auto"/>
              <w:left w:val="single" w:sz="4" w:space="0" w:color="auto"/>
              <w:right w:val="single" w:sz="4" w:space="0" w:color="auto"/>
            </w:tcBorders>
            <w:vAlign w:val="center"/>
          </w:tcPr>
          <w:p w:rsidR="005D141E" w:rsidRPr="006B681B" w:rsidRDefault="005D141E"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5D141E" w:rsidRPr="006B681B" w:rsidRDefault="005D141E"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 вариант</w:t>
            </w:r>
          </w:p>
        </w:tc>
        <w:tc>
          <w:tcPr>
            <w:tcW w:w="1276" w:type="dxa"/>
            <w:vMerge w:val="restart"/>
            <w:tcBorders>
              <w:top w:val="single" w:sz="4" w:space="0" w:color="auto"/>
              <w:left w:val="single" w:sz="4" w:space="0" w:color="auto"/>
              <w:right w:val="single" w:sz="4" w:space="0" w:color="auto"/>
            </w:tcBorders>
            <w:vAlign w:val="center"/>
          </w:tcPr>
          <w:p w:rsidR="005D141E" w:rsidRPr="006B681B" w:rsidRDefault="00E86AC6"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108,2</w:t>
            </w:r>
          </w:p>
        </w:tc>
        <w:tc>
          <w:tcPr>
            <w:tcW w:w="1276" w:type="dxa"/>
            <w:vMerge w:val="restart"/>
            <w:tcBorders>
              <w:top w:val="single" w:sz="4" w:space="0" w:color="auto"/>
              <w:left w:val="single" w:sz="4" w:space="0" w:color="auto"/>
              <w:right w:val="single" w:sz="4" w:space="0" w:color="auto"/>
            </w:tcBorders>
            <w:vAlign w:val="center"/>
          </w:tcPr>
          <w:p w:rsidR="005D141E" w:rsidRPr="006B681B" w:rsidRDefault="00E86AC6"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111,9</w:t>
            </w:r>
          </w:p>
        </w:tc>
        <w:tc>
          <w:tcPr>
            <w:tcW w:w="1276" w:type="dxa"/>
            <w:tcBorders>
              <w:top w:val="single" w:sz="4" w:space="0" w:color="auto"/>
              <w:left w:val="single" w:sz="4" w:space="0" w:color="auto"/>
              <w:bottom w:val="single" w:sz="4" w:space="0" w:color="auto"/>
              <w:right w:val="single" w:sz="4" w:space="0" w:color="auto"/>
            </w:tcBorders>
            <w:vAlign w:val="center"/>
          </w:tcPr>
          <w:p w:rsidR="005D141E" w:rsidRPr="006B681B" w:rsidRDefault="005D141E"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10</w:t>
            </w:r>
            <w:r w:rsidR="00E86AC6" w:rsidRPr="006B681B">
              <w:rPr>
                <w:rFonts w:ascii="Times New Roman" w:hAnsi="Times New Roman" w:cs="Times New Roman"/>
                <w:sz w:val="23"/>
                <w:szCs w:val="23"/>
              </w:rPr>
              <w:t>7</w:t>
            </w:r>
            <w:r w:rsidRPr="006B681B">
              <w:rPr>
                <w:rFonts w:ascii="Times New Roman" w:hAnsi="Times New Roman" w:cs="Times New Roman"/>
                <w:sz w:val="23"/>
                <w:szCs w:val="23"/>
              </w:rPr>
              <w:t>,0</w:t>
            </w:r>
          </w:p>
        </w:tc>
        <w:tc>
          <w:tcPr>
            <w:tcW w:w="1276" w:type="dxa"/>
            <w:tcBorders>
              <w:top w:val="single" w:sz="4" w:space="0" w:color="auto"/>
              <w:left w:val="single" w:sz="4" w:space="0" w:color="auto"/>
              <w:bottom w:val="single" w:sz="4" w:space="0" w:color="auto"/>
              <w:right w:val="single" w:sz="4" w:space="0" w:color="auto"/>
            </w:tcBorders>
            <w:vAlign w:val="center"/>
          </w:tcPr>
          <w:p w:rsidR="005D141E" w:rsidRPr="006B681B" w:rsidRDefault="005D141E"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10</w:t>
            </w:r>
            <w:r w:rsidR="00E86AC6" w:rsidRPr="006B681B">
              <w:rPr>
                <w:rFonts w:ascii="Times New Roman" w:hAnsi="Times New Roman" w:cs="Times New Roman"/>
                <w:sz w:val="23"/>
                <w:szCs w:val="23"/>
              </w:rPr>
              <w:t>6</w:t>
            </w:r>
            <w:r w:rsidRPr="006B681B">
              <w:rPr>
                <w:rFonts w:ascii="Times New Roman" w:hAnsi="Times New Roman" w:cs="Times New Roman"/>
                <w:sz w:val="23"/>
                <w:szCs w:val="23"/>
              </w:rPr>
              <w:t>,</w:t>
            </w:r>
            <w:r w:rsidR="00E86AC6" w:rsidRPr="006B681B">
              <w:rPr>
                <w:rFonts w:ascii="Times New Roman" w:hAnsi="Times New Roman" w:cs="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vAlign w:val="center"/>
          </w:tcPr>
          <w:p w:rsidR="005D141E" w:rsidRPr="006B681B" w:rsidRDefault="00E86AC6"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105,1</w:t>
            </w:r>
          </w:p>
        </w:tc>
      </w:tr>
      <w:tr w:rsidR="009B369A" w:rsidRPr="006B681B" w:rsidTr="00AE6EE8">
        <w:trPr>
          <w:trHeight w:val="630"/>
        </w:trPr>
        <w:tc>
          <w:tcPr>
            <w:tcW w:w="2093" w:type="dxa"/>
            <w:vMerge/>
            <w:tcBorders>
              <w:left w:val="single" w:sz="4" w:space="0" w:color="auto"/>
              <w:bottom w:val="single" w:sz="4" w:space="0" w:color="auto"/>
              <w:right w:val="single" w:sz="4" w:space="0" w:color="auto"/>
            </w:tcBorders>
          </w:tcPr>
          <w:p w:rsidR="005D141E" w:rsidRPr="006B681B" w:rsidRDefault="005D141E" w:rsidP="0022054C">
            <w:pPr>
              <w:spacing w:after="0" w:line="240" w:lineRule="auto"/>
              <w:jc w:val="both"/>
              <w:rPr>
                <w:rFonts w:ascii="Times New Roman" w:hAnsi="Times New Roman" w:cs="Times New Roman"/>
                <w:sz w:val="23"/>
                <w:szCs w:val="23"/>
              </w:rPr>
            </w:pPr>
          </w:p>
        </w:tc>
        <w:tc>
          <w:tcPr>
            <w:tcW w:w="709" w:type="dxa"/>
            <w:vMerge/>
            <w:tcBorders>
              <w:left w:val="single" w:sz="4" w:space="0" w:color="auto"/>
              <w:bottom w:val="single" w:sz="4" w:space="0" w:color="auto"/>
              <w:right w:val="single" w:sz="4" w:space="0" w:color="auto"/>
            </w:tcBorders>
          </w:tcPr>
          <w:p w:rsidR="005D141E" w:rsidRPr="006B681B" w:rsidRDefault="005D141E" w:rsidP="0022054C">
            <w:pPr>
              <w:spacing w:after="0" w:line="240" w:lineRule="auto"/>
              <w:jc w:val="both"/>
              <w:rPr>
                <w:rFonts w:ascii="Times New Roman" w:hAnsi="Times New Roman" w:cs="Times New Roman"/>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5D141E" w:rsidRPr="006B681B" w:rsidRDefault="005D141E"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 вариант</w:t>
            </w:r>
          </w:p>
        </w:tc>
        <w:tc>
          <w:tcPr>
            <w:tcW w:w="1276" w:type="dxa"/>
            <w:vMerge/>
            <w:tcBorders>
              <w:left w:val="single" w:sz="4" w:space="0" w:color="auto"/>
              <w:bottom w:val="single" w:sz="4" w:space="0" w:color="auto"/>
              <w:right w:val="single" w:sz="4" w:space="0" w:color="auto"/>
            </w:tcBorders>
            <w:vAlign w:val="center"/>
          </w:tcPr>
          <w:p w:rsidR="005D141E" w:rsidRPr="006B681B" w:rsidRDefault="005D141E" w:rsidP="0022054C">
            <w:pPr>
              <w:spacing w:after="0" w:line="240" w:lineRule="auto"/>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vAlign w:val="center"/>
          </w:tcPr>
          <w:p w:rsidR="005D141E" w:rsidRPr="006B681B" w:rsidRDefault="005D141E" w:rsidP="0022054C">
            <w:pPr>
              <w:spacing w:after="0" w:line="240" w:lineRule="auto"/>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5D141E" w:rsidRPr="006B681B" w:rsidRDefault="00E86AC6"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106,5</w:t>
            </w:r>
          </w:p>
        </w:tc>
        <w:tc>
          <w:tcPr>
            <w:tcW w:w="1276" w:type="dxa"/>
            <w:tcBorders>
              <w:top w:val="single" w:sz="4" w:space="0" w:color="auto"/>
              <w:left w:val="single" w:sz="4" w:space="0" w:color="auto"/>
              <w:bottom w:val="single" w:sz="4" w:space="0" w:color="auto"/>
              <w:right w:val="single" w:sz="4" w:space="0" w:color="auto"/>
            </w:tcBorders>
            <w:vAlign w:val="center"/>
          </w:tcPr>
          <w:p w:rsidR="005D141E" w:rsidRPr="006B681B" w:rsidRDefault="00E86AC6"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105,9</w:t>
            </w:r>
          </w:p>
        </w:tc>
        <w:tc>
          <w:tcPr>
            <w:tcW w:w="1275" w:type="dxa"/>
            <w:tcBorders>
              <w:top w:val="single" w:sz="4" w:space="0" w:color="auto"/>
              <w:left w:val="single" w:sz="4" w:space="0" w:color="auto"/>
              <w:bottom w:val="single" w:sz="4" w:space="0" w:color="auto"/>
              <w:right w:val="single" w:sz="4" w:space="0" w:color="auto"/>
            </w:tcBorders>
            <w:vAlign w:val="center"/>
          </w:tcPr>
          <w:p w:rsidR="005D141E" w:rsidRPr="006B681B" w:rsidRDefault="00E86AC6"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104,8</w:t>
            </w:r>
          </w:p>
        </w:tc>
      </w:tr>
      <w:tr w:rsidR="002A1942" w:rsidRPr="006B681B" w:rsidTr="00AE6EE8">
        <w:trPr>
          <w:trHeight w:val="1096"/>
        </w:trPr>
        <w:tc>
          <w:tcPr>
            <w:tcW w:w="2093" w:type="dxa"/>
            <w:vMerge w:val="restart"/>
            <w:tcBorders>
              <w:top w:val="single" w:sz="4" w:space="0" w:color="auto"/>
              <w:left w:val="single" w:sz="4" w:space="0" w:color="auto"/>
              <w:right w:val="single" w:sz="4" w:space="0" w:color="auto"/>
            </w:tcBorders>
          </w:tcPr>
          <w:p w:rsidR="00CE3153" w:rsidRPr="006B681B" w:rsidRDefault="00CE3153" w:rsidP="0022054C">
            <w:pPr>
              <w:spacing w:after="0" w:line="240" w:lineRule="auto"/>
              <w:jc w:val="both"/>
              <w:rPr>
                <w:rFonts w:ascii="Times New Roman" w:hAnsi="Times New Roman" w:cs="Times New Roman"/>
                <w:sz w:val="23"/>
                <w:szCs w:val="23"/>
              </w:rPr>
            </w:pPr>
            <w:r w:rsidRPr="006B681B">
              <w:rPr>
                <w:rFonts w:ascii="Times New Roman" w:hAnsi="Times New Roman" w:cs="Times New Roman"/>
                <w:sz w:val="23"/>
                <w:szCs w:val="23"/>
              </w:rPr>
              <w:t xml:space="preserve">Объём отгруженных товаров собственного производства </w:t>
            </w:r>
            <w:r w:rsidRPr="006B681B">
              <w:rPr>
                <w:rFonts w:ascii="Times New Roman" w:hAnsi="Times New Roman" w:cs="Times New Roman"/>
                <w:i/>
                <w:sz w:val="23"/>
                <w:szCs w:val="23"/>
              </w:rPr>
              <w:t>(индекс промышленного производства)</w:t>
            </w:r>
          </w:p>
        </w:tc>
        <w:tc>
          <w:tcPr>
            <w:tcW w:w="709" w:type="dxa"/>
            <w:vMerge w:val="restart"/>
            <w:tcBorders>
              <w:top w:val="single" w:sz="4" w:space="0" w:color="auto"/>
              <w:left w:val="single" w:sz="4" w:space="0" w:color="auto"/>
              <w:right w:val="single" w:sz="4" w:space="0" w:color="auto"/>
            </w:tcBorders>
            <w:vAlign w:val="center"/>
          </w:tcPr>
          <w:p w:rsidR="00CE3153" w:rsidRPr="006B681B" w:rsidRDefault="00CE3153"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млн. руб. (%)</w:t>
            </w:r>
          </w:p>
        </w:tc>
        <w:tc>
          <w:tcPr>
            <w:tcW w:w="1275" w:type="dxa"/>
            <w:tcBorders>
              <w:top w:val="single" w:sz="4" w:space="0" w:color="auto"/>
              <w:left w:val="single" w:sz="4" w:space="0" w:color="auto"/>
              <w:bottom w:val="single" w:sz="4" w:space="0" w:color="auto"/>
              <w:right w:val="single" w:sz="4" w:space="0" w:color="auto"/>
            </w:tcBorders>
            <w:vAlign w:val="center"/>
          </w:tcPr>
          <w:p w:rsidR="00CE3153" w:rsidRPr="006B681B" w:rsidRDefault="00CE3153"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 вариант</w:t>
            </w:r>
          </w:p>
        </w:tc>
        <w:tc>
          <w:tcPr>
            <w:tcW w:w="1276" w:type="dxa"/>
            <w:vMerge w:val="restart"/>
            <w:tcBorders>
              <w:top w:val="single" w:sz="4" w:space="0" w:color="auto"/>
              <w:left w:val="single" w:sz="4" w:space="0" w:color="auto"/>
              <w:right w:val="single" w:sz="4" w:space="0" w:color="auto"/>
            </w:tcBorders>
            <w:vAlign w:val="center"/>
          </w:tcPr>
          <w:p w:rsidR="00CE3153" w:rsidRPr="006B681B" w:rsidRDefault="00650F03"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23 856,6</w:t>
            </w:r>
            <w:r w:rsidR="00CE3153" w:rsidRPr="006B681B">
              <w:rPr>
                <w:rFonts w:ascii="Times New Roman" w:hAnsi="Times New Roman" w:cs="Times New Roman"/>
                <w:sz w:val="23"/>
                <w:szCs w:val="23"/>
              </w:rPr>
              <w:t xml:space="preserve"> </w:t>
            </w:r>
            <w:r w:rsidR="00CE3153" w:rsidRPr="006B681B">
              <w:rPr>
                <w:rFonts w:ascii="Times New Roman" w:hAnsi="Times New Roman" w:cs="Times New Roman"/>
                <w:i/>
                <w:sz w:val="23"/>
                <w:szCs w:val="23"/>
              </w:rPr>
              <w:t>(</w:t>
            </w:r>
            <w:r w:rsidRPr="006B681B">
              <w:rPr>
                <w:rFonts w:ascii="Times New Roman" w:hAnsi="Times New Roman" w:cs="Times New Roman"/>
                <w:i/>
                <w:sz w:val="23"/>
                <w:szCs w:val="23"/>
              </w:rPr>
              <w:t>101,06</w:t>
            </w:r>
            <w:r w:rsidR="005F0C5C" w:rsidRPr="006B681B">
              <w:rPr>
                <w:rFonts w:ascii="Times New Roman" w:hAnsi="Times New Roman" w:cs="Times New Roman"/>
                <w:i/>
                <w:sz w:val="23"/>
                <w:szCs w:val="23"/>
              </w:rPr>
              <w:t>%)</w:t>
            </w:r>
          </w:p>
        </w:tc>
        <w:tc>
          <w:tcPr>
            <w:tcW w:w="1276" w:type="dxa"/>
            <w:vMerge w:val="restart"/>
            <w:tcBorders>
              <w:top w:val="single" w:sz="4" w:space="0" w:color="auto"/>
              <w:left w:val="single" w:sz="4" w:space="0" w:color="auto"/>
              <w:right w:val="single" w:sz="4" w:space="0" w:color="auto"/>
            </w:tcBorders>
            <w:vAlign w:val="center"/>
          </w:tcPr>
          <w:p w:rsidR="00AE6EE8" w:rsidRPr="006B681B" w:rsidRDefault="003852F2"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28 021,9</w:t>
            </w:r>
            <w:r w:rsidR="009D7859" w:rsidRPr="006B681B">
              <w:rPr>
                <w:rFonts w:ascii="Times New Roman" w:hAnsi="Times New Roman" w:cs="Times New Roman"/>
                <w:sz w:val="23"/>
                <w:szCs w:val="23"/>
              </w:rPr>
              <w:t>4</w:t>
            </w:r>
          </w:p>
          <w:p w:rsidR="00CE3153" w:rsidRPr="006B681B" w:rsidRDefault="00CE3153"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 xml:space="preserve"> </w:t>
            </w:r>
            <w:r w:rsidR="003852F2" w:rsidRPr="006B681B">
              <w:rPr>
                <w:rFonts w:ascii="Times New Roman" w:hAnsi="Times New Roman" w:cs="Times New Roman"/>
                <w:i/>
                <w:sz w:val="23"/>
                <w:szCs w:val="23"/>
              </w:rPr>
              <w:t>(108,57</w:t>
            </w:r>
            <w:r w:rsidR="005F0C5C" w:rsidRPr="006B681B">
              <w:rPr>
                <w:rFonts w:ascii="Times New Roman" w:hAnsi="Times New Roman" w:cs="Times New Roman"/>
                <w:i/>
                <w:sz w:val="23"/>
                <w:szCs w:val="23"/>
              </w:rPr>
              <w:t>%</w:t>
            </w:r>
            <w:r w:rsidRPr="006B681B">
              <w:rPr>
                <w:rFonts w:ascii="Times New Roman" w:hAnsi="Times New Roman" w:cs="Times New Roman"/>
                <w:i/>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5F0C5C" w:rsidRPr="006B681B" w:rsidRDefault="003852F2"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29 688,3</w:t>
            </w:r>
            <w:r w:rsidR="009D7859" w:rsidRPr="006B681B">
              <w:rPr>
                <w:rFonts w:ascii="Times New Roman" w:hAnsi="Times New Roman" w:cs="Times New Roman"/>
                <w:sz w:val="23"/>
                <w:szCs w:val="23"/>
              </w:rPr>
              <w:t>7</w:t>
            </w:r>
          </w:p>
          <w:p w:rsidR="00CE3153" w:rsidRPr="006B681B" w:rsidRDefault="00AE6EE8"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(99,07</w:t>
            </w:r>
            <w:r w:rsidR="005F0C5C" w:rsidRPr="006B681B">
              <w:rPr>
                <w:rFonts w:ascii="Times New Roman" w:hAnsi="Times New Roman" w:cs="Times New Roman"/>
                <w:i/>
                <w:sz w:val="23"/>
                <w:szCs w:val="23"/>
              </w:rPr>
              <w:t>%</w:t>
            </w:r>
            <w:r w:rsidR="00CE3153" w:rsidRPr="006B681B">
              <w:rPr>
                <w:rFonts w:ascii="Times New Roman" w:hAnsi="Times New Roman" w:cs="Times New Roman"/>
                <w:i/>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5F0C5C" w:rsidRPr="006B681B" w:rsidRDefault="009D7859"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31 250,67</w:t>
            </w:r>
          </w:p>
          <w:p w:rsidR="00CE3153" w:rsidRPr="006B681B" w:rsidRDefault="00AE6EE8"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(99,26</w:t>
            </w:r>
            <w:r w:rsidR="005F0C5C" w:rsidRPr="006B681B">
              <w:rPr>
                <w:rFonts w:ascii="Times New Roman" w:hAnsi="Times New Roman" w:cs="Times New Roman"/>
                <w:i/>
                <w:sz w:val="23"/>
                <w:szCs w:val="23"/>
              </w:rPr>
              <w:t>%</w:t>
            </w:r>
            <w:r w:rsidR="00CE3153" w:rsidRPr="006B681B">
              <w:rPr>
                <w:rFonts w:ascii="Times New Roman" w:hAnsi="Times New Roman" w:cs="Times New Roman"/>
                <w:i/>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5F0C5C" w:rsidRPr="006B681B" w:rsidRDefault="00903D5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33 052,75</w:t>
            </w:r>
          </w:p>
          <w:p w:rsidR="00CE3153" w:rsidRPr="006B681B" w:rsidRDefault="00CE3153"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AE6EE8" w:rsidRPr="006B681B">
              <w:rPr>
                <w:rFonts w:ascii="Times New Roman" w:hAnsi="Times New Roman" w:cs="Times New Roman"/>
                <w:i/>
                <w:sz w:val="23"/>
                <w:szCs w:val="23"/>
              </w:rPr>
              <w:t>99,39</w:t>
            </w:r>
            <w:r w:rsidR="005F0C5C" w:rsidRPr="006B681B">
              <w:rPr>
                <w:rFonts w:ascii="Times New Roman" w:hAnsi="Times New Roman" w:cs="Times New Roman"/>
                <w:i/>
                <w:sz w:val="23"/>
                <w:szCs w:val="23"/>
              </w:rPr>
              <w:t>%</w:t>
            </w:r>
            <w:r w:rsidRPr="006B681B">
              <w:rPr>
                <w:rFonts w:ascii="Times New Roman" w:hAnsi="Times New Roman" w:cs="Times New Roman"/>
                <w:i/>
                <w:sz w:val="23"/>
                <w:szCs w:val="23"/>
              </w:rPr>
              <w:t>)</w:t>
            </w:r>
          </w:p>
        </w:tc>
      </w:tr>
      <w:tr w:rsidR="002A1942" w:rsidRPr="006B681B" w:rsidTr="00AE6EE8">
        <w:trPr>
          <w:trHeight w:val="720"/>
        </w:trPr>
        <w:tc>
          <w:tcPr>
            <w:tcW w:w="2093" w:type="dxa"/>
            <w:vMerge/>
            <w:tcBorders>
              <w:left w:val="single" w:sz="4" w:space="0" w:color="auto"/>
              <w:bottom w:val="single" w:sz="4" w:space="0" w:color="auto"/>
              <w:right w:val="single" w:sz="4" w:space="0" w:color="auto"/>
            </w:tcBorders>
          </w:tcPr>
          <w:p w:rsidR="00CE3153" w:rsidRPr="006B681B" w:rsidRDefault="00CE3153" w:rsidP="0022054C">
            <w:pPr>
              <w:spacing w:after="0" w:line="240" w:lineRule="auto"/>
              <w:jc w:val="both"/>
              <w:rPr>
                <w:rFonts w:ascii="Times New Roman" w:hAnsi="Times New Roman" w:cs="Times New Roman"/>
                <w:sz w:val="23"/>
                <w:szCs w:val="23"/>
              </w:rPr>
            </w:pPr>
          </w:p>
        </w:tc>
        <w:tc>
          <w:tcPr>
            <w:tcW w:w="709" w:type="dxa"/>
            <w:vMerge/>
            <w:tcBorders>
              <w:left w:val="single" w:sz="4" w:space="0" w:color="auto"/>
              <w:bottom w:val="single" w:sz="4" w:space="0" w:color="auto"/>
              <w:right w:val="single" w:sz="4" w:space="0" w:color="auto"/>
            </w:tcBorders>
            <w:vAlign w:val="center"/>
          </w:tcPr>
          <w:p w:rsidR="00CE3153" w:rsidRPr="006B681B" w:rsidRDefault="00CE3153" w:rsidP="0022054C">
            <w:pPr>
              <w:spacing w:after="0" w:line="240" w:lineRule="auto"/>
              <w:jc w:val="center"/>
              <w:rPr>
                <w:rFonts w:ascii="Times New Roman" w:hAnsi="Times New Roman" w:cs="Times New Roman"/>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CE3153" w:rsidRPr="006B681B" w:rsidRDefault="00CE3153"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 вариант</w:t>
            </w:r>
          </w:p>
        </w:tc>
        <w:tc>
          <w:tcPr>
            <w:tcW w:w="1276" w:type="dxa"/>
            <w:vMerge/>
            <w:tcBorders>
              <w:left w:val="single" w:sz="4" w:space="0" w:color="auto"/>
              <w:bottom w:val="single" w:sz="4" w:space="0" w:color="auto"/>
              <w:right w:val="single" w:sz="4" w:space="0" w:color="auto"/>
            </w:tcBorders>
            <w:vAlign w:val="center"/>
          </w:tcPr>
          <w:p w:rsidR="00CE3153" w:rsidRPr="006B681B" w:rsidRDefault="00CE3153" w:rsidP="0022054C">
            <w:pPr>
              <w:spacing w:after="0" w:line="240" w:lineRule="auto"/>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vAlign w:val="center"/>
          </w:tcPr>
          <w:p w:rsidR="00CE3153" w:rsidRPr="006B681B" w:rsidRDefault="00CE3153" w:rsidP="0022054C">
            <w:pPr>
              <w:spacing w:after="0" w:line="240" w:lineRule="auto"/>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CE3153" w:rsidRPr="006B681B" w:rsidRDefault="00903D5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30 487,28</w:t>
            </w:r>
          </w:p>
          <w:p w:rsidR="005F0C5C" w:rsidRPr="006B681B" w:rsidRDefault="005F0C5C"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AE6EE8" w:rsidRPr="006B681B">
              <w:rPr>
                <w:rFonts w:ascii="Times New Roman" w:hAnsi="Times New Roman" w:cs="Times New Roman"/>
                <w:i/>
                <w:sz w:val="23"/>
                <w:szCs w:val="23"/>
              </w:rPr>
              <w:t>100,35</w:t>
            </w:r>
            <w:r w:rsidRPr="006B681B">
              <w:rPr>
                <w:rFonts w:ascii="Times New Roman" w:hAnsi="Times New Roman" w:cs="Times New Roman"/>
                <w:i/>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CE3153" w:rsidRPr="006B681B" w:rsidRDefault="00903D5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33 329,44</w:t>
            </w:r>
          </w:p>
          <w:p w:rsidR="005F0C5C" w:rsidRPr="006B681B" w:rsidRDefault="005F0C5C"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AE6EE8" w:rsidRPr="006B681B">
              <w:rPr>
                <w:rFonts w:ascii="Times New Roman" w:hAnsi="Times New Roman" w:cs="Times New Roman"/>
                <w:i/>
                <w:sz w:val="23"/>
                <w:szCs w:val="23"/>
              </w:rPr>
              <w:t>101,10</w:t>
            </w:r>
            <w:r w:rsidRPr="006B681B">
              <w:rPr>
                <w:rFonts w:ascii="Times New Roman" w:hAnsi="Times New Roman" w:cs="Times New Roman"/>
                <w:i/>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CE3153" w:rsidRPr="006B681B" w:rsidRDefault="00903D5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36 026,31</w:t>
            </w:r>
          </w:p>
          <w:p w:rsidR="005F0C5C" w:rsidRPr="006B681B" w:rsidRDefault="005F0C5C"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6023E7" w:rsidRPr="006B681B">
              <w:rPr>
                <w:rFonts w:ascii="Times New Roman" w:hAnsi="Times New Roman" w:cs="Times New Roman"/>
                <w:i/>
                <w:sz w:val="23"/>
                <w:szCs w:val="23"/>
              </w:rPr>
              <w:t>101,36</w:t>
            </w:r>
            <w:r w:rsidRPr="006B681B">
              <w:rPr>
                <w:rFonts w:ascii="Times New Roman" w:hAnsi="Times New Roman" w:cs="Times New Roman"/>
                <w:i/>
                <w:sz w:val="23"/>
                <w:szCs w:val="23"/>
              </w:rPr>
              <w:t>%)</w:t>
            </w:r>
          </w:p>
        </w:tc>
      </w:tr>
      <w:tr w:rsidR="002A1942" w:rsidRPr="006B681B" w:rsidTr="00AE6EE8">
        <w:trPr>
          <w:trHeight w:val="659"/>
        </w:trPr>
        <w:tc>
          <w:tcPr>
            <w:tcW w:w="2093" w:type="dxa"/>
            <w:vMerge w:val="restart"/>
            <w:tcBorders>
              <w:top w:val="single" w:sz="4" w:space="0" w:color="auto"/>
              <w:left w:val="single" w:sz="4" w:space="0" w:color="auto"/>
              <w:right w:val="single" w:sz="4" w:space="0" w:color="auto"/>
            </w:tcBorders>
          </w:tcPr>
          <w:p w:rsidR="00CE3153" w:rsidRPr="006B681B" w:rsidRDefault="00CE3153" w:rsidP="0022054C">
            <w:pPr>
              <w:spacing w:after="0" w:line="240" w:lineRule="auto"/>
              <w:jc w:val="both"/>
              <w:rPr>
                <w:rFonts w:ascii="Times New Roman" w:hAnsi="Times New Roman" w:cs="Times New Roman"/>
                <w:sz w:val="23"/>
                <w:szCs w:val="23"/>
              </w:rPr>
            </w:pPr>
            <w:r w:rsidRPr="006B681B">
              <w:rPr>
                <w:rFonts w:ascii="Times New Roman" w:hAnsi="Times New Roman" w:cs="Times New Roman"/>
                <w:sz w:val="23"/>
                <w:szCs w:val="23"/>
              </w:rPr>
              <w:t>Инвестиции в основной капитал</w:t>
            </w:r>
          </w:p>
          <w:p w:rsidR="001F2874" w:rsidRPr="006B681B" w:rsidRDefault="001F2874" w:rsidP="0022054C">
            <w:pPr>
              <w:spacing w:after="0" w:line="240" w:lineRule="auto"/>
              <w:jc w:val="both"/>
              <w:rPr>
                <w:rFonts w:ascii="Times New Roman" w:hAnsi="Times New Roman" w:cs="Times New Roman"/>
                <w:i/>
                <w:sz w:val="23"/>
                <w:szCs w:val="23"/>
              </w:rPr>
            </w:pPr>
            <w:r w:rsidRPr="006B681B">
              <w:rPr>
                <w:rFonts w:ascii="Times New Roman" w:hAnsi="Times New Roman" w:cs="Times New Roman"/>
                <w:i/>
                <w:sz w:val="23"/>
                <w:szCs w:val="23"/>
              </w:rPr>
              <w:t>(индекс физического объема)</w:t>
            </w:r>
          </w:p>
        </w:tc>
        <w:tc>
          <w:tcPr>
            <w:tcW w:w="709" w:type="dxa"/>
            <w:vMerge w:val="restart"/>
            <w:tcBorders>
              <w:top w:val="single" w:sz="4" w:space="0" w:color="auto"/>
              <w:left w:val="single" w:sz="4" w:space="0" w:color="auto"/>
              <w:right w:val="single" w:sz="4" w:space="0" w:color="auto"/>
            </w:tcBorders>
            <w:vAlign w:val="center"/>
          </w:tcPr>
          <w:p w:rsidR="001F2874" w:rsidRPr="006B681B" w:rsidRDefault="00CE3153"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млн. руб.</w:t>
            </w:r>
          </w:p>
          <w:p w:rsidR="00CE3153" w:rsidRPr="006B681B" w:rsidRDefault="001F2874"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CE3153" w:rsidRPr="006B681B" w:rsidRDefault="00CE3153"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 вариант</w:t>
            </w:r>
          </w:p>
        </w:tc>
        <w:tc>
          <w:tcPr>
            <w:tcW w:w="1276" w:type="dxa"/>
            <w:vMerge w:val="restart"/>
            <w:tcBorders>
              <w:top w:val="single" w:sz="4" w:space="0" w:color="auto"/>
              <w:left w:val="single" w:sz="4" w:space="0" w:color="auto"/>
              <w:right w:val="single" w:sz="4" w:space="0" w:color="auto"/>
            </w:tcBorders>
            <w:vAlign w:val="center"/>
          </w:tcPr>
          <w:p w:rsidR="001F2874" w:rsidRPr="006B681B" w:rsidRDefault="00037666"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18 408,58</w:t>
            </w:r>
          </w:p>
          <w:p w:rsidR="00CE3153" w:rsidRPr="006B681B" w:rsidRDefault="001F2874"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037666" w:rsidRPr="006B681B">
              <w:rPr>
                <w:rFonts w:ascii="Times New Roman" w:hAnsi="Times New Roman" w:cs="Times New Roman"/>
                <w:i/>
                <w:sz w:val="23"/>
                <w:szCs w:val="23"/>
              </w:rPr>
              <w:t>126,1</w:t>
            </w:r>
            <w:r w:rsidRPr="006B681B">
              <w:rPr>
                <w:rFonts w:ascii="Times New Roman" w:hAnsi="Times New Roman" w:cs="Times New Roman"/>
                <w:i/>
                <w:sz w:val="23"/>
                <w:szCs w:val="23"/>
              </w:rPr>
              <w:t>%)</w:t>
            </w:r>
          </w:p>
        </w:tc>
        <w:tc>
          <w:tcPr>
            <w:tcW w:w="1276" w:type="dxa"/>
            <w:vMerge w:val="restart"/>
            <w:tcBorders>
              <w:top w:val="single" w:sz="4" w:space="0" w:color="auto"/>
              <w:left w:val="single" w:sz="4" w:space="0" w:color="auto"/>
              <w:right w:val="single" w:sz="4" w:space="0" w:color="auto"/>
            </w:tcBorders>
            <w:vAlign w:val="center"/>
          </w:tcPr>
          <w:p w:rsidR="001F2874" w:rsidRPr="006B681B" w:rsidRDefault="00037666"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19 137,15</w:t>
            </w:r>
          </w:p>
          <w:p w:rsidR="00CE3153" w:rsidRPr="006B681B" w:rsidRDefault="001F2874"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037666" w:rsidRPr="006B681B">
              <w:rPr>
                <w:rFonts w:ascii="Times New Roman" w:hAnsi="Times New Roman" w:cs="Times New Roman"/>
                <w:i/>
                <w:sz w:val="23"/>
                <w:szCs w:val="23"/>
              </w:rPr>
              <w:t>101,9</w:t>
            </w:r>
            <w:r w:rsidRPr="006B681B">
              <w:rPr>
                <w:rFonts w:ascii="Times New Roman" w:hAnsi="Times New Roman" w:cs="Times New Roman"/>
                <w:i/>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1F2874" w:rsidRPr="006B681B" w:rsidRDefault="00037666"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19 500,02</w:t>
            </w:r>
          </w:p>
          <w:p w:rsidR="00CE3153" w:rsidRPr="006B681B" w:rsidRDefault="001F2874"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037666" w:rsidRPr="006B681B">
              <w:rPr>
                <w:rFonts w:ascii="Times New Roman" w:hAnsi="Times New Roman" w:cs="Times New Roman"/>
                <w:i/>
                <w:sz w:val="23"/>
                <w:szCs w:val="23"/>
              </w:rPr>
              <w:t>99,4</w:t>
            </w:r>
            <w:r w:rsidRPr="006B681B">
              <w:rPr>
                <w:rFonts w:ascii="Times New Roman" w:hAnsi="Times New Roman" w:cs="Times New Roman"/>
                <w:i/>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1F2874" w:rsidRPr="006B681B" w:rsidRDefault="00037666"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19 807,56</w:t>
            </w:r>
          </w:p>
          <w:p w:rsidR="00CE3153" w:rsidRPr="006B681B" w:rsidRDefault="001F2874"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i/>
                <w:sz w:val="23"/>
                <w:szCs w:val="23"/>
              </w:rPr>
              <w:t>(</w:t>
            </w:r>
            <w:r w:rsidR="00037666" w:rsidRPr="006B681B">
              <w:rPr>
                <w:rFonts w:ascii="Times New Roman" w:hAnsi="Times New Roman" w:cs="Times New Roman"/>
                <w:i/>
                <w:sz w:val="23"/>
                <w:szCs w:val="23"/>
              </w:rPr>
              <w:t>100,4</w:t>
            </w:r>
            <w:r w:rsidRPr="006B681B">
              <w:rPr>
                <w:rFonts w:ascii="Times New Roman" w:hAnsi="Times New Roman" w:cs="Times New Roman"/>
                <w:i/>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CE3153" w:rsidRPr="006B681B" w:rsidRDefault="00037666"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20 787,75</w:t>
            </w:r>
          </w:p>
          <w:p w:rsidR="001F2874" w:rsidRPr="006B681B" w:rsidRDefault="00530452"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EE7A05" w:rsidRPr="006B681B">
              <w:rPr>
                <w:rFonts w:ascii="Times New Roman" w:hAnsi="Times New Roman" w:cs="Times New Roman"/>
                <w:i/>
                <w:sz w:val="23"/>
                <w:szCs w:val="23"/>
              </w:rPr>
              <w:t>100,</w:t>
            </w:r>
            <w:r w:rsidR="00037666" w:rsidRPr="006B681B">
              <w:rPr>
                <w:rFonts w:ascii="Times New Roman" w:hAnsi="Times New Roman" w:cs="Times New Roman"/>
                <w:i/>
                <w:sz w:val="23"/>
                <w:szCs w:val="23"/>
              </w:rPr>
              <w:t>5</w:t>
            </w:r>
            <w:r w:rsidR="001F2874" w:rsidRPr="006B681B">
              <w:rPr>
                <w:rFonts w:ascii="Times New Roman" w:hAnsi="Times New Roman" w:cs="Times New Roman"/>
                <w:i/>
                <w:sz w:val="23"/>
                <w:szCs w:val="23"/>
              </w:rPr>
              <w:t>%)</w:t>
            </w:r>
          </w:p>
        </w:tc>
      </w:tr>
      <w:tr w:rsidR="002A1942" w:rsidRPr="006B681B" w:rsidTr="00AE6EE8">
        <w:tc>
          <w:tcPr>
            <w:tcW w:w="2093" w:type="dxa"/>
            <w:vMerge/>
            <w:tcBorders>
              <w:left w:val="single" w:sz="4" w:space="0" w:color="auto"/>
              <w:bottom w:val="single" w:sz="4" w:space="0" w:color="auto"/>
              <w:right w:val="single" w:sz="4" w:space="0" w:color="auto"/>
            </w:tcBorders>
          </w:tcPr>
          <w:p w:rsidR="00CE3153" w:rsidRPr="006B681B" w:rsidRDefault="00CE3153" w:rsidP="0022054C">
            <w:pPr>
              <w:spacing w:after="0" w:line="240" w:lineRule="auto"/>
              <w:jc w:val="both"/>
              <w:rPr>
                <w:rFonts w:ascii="Times New Roman" w:hAnsi="Times New Roman" w:cs="Times New Roman"/>
                <w:sz w:val="23"/>
                <w:szCs w:val="23"/>
              </w:rPr>
            </w:pPr>
          </w:p>
        </w:tc>
        <w:tc>
          <w:tcPr>
            <w:tcW w:w="709" w:type="dxa"/>
            <w:vMerge/>
            <w:tcBorders>
              <w:left w:val="single" w:sz="4" w:space="0" w:color="auto"/>
              <w:bottom w:val="single" w:sz="4" w:space="0" w:color="auto"/>
              <w:right w:val="single" w:sz="4" w:space="0" w:color="auto"/>
            </w:tcBorders>
            <w:vAlign w:val="center"/>
          </w:tcPr>
          <w:p w:rsidR="00CE3153" w:rsidRPr="006B681B" w:rsidRDefault="00CE3153" w:rsidP="0022054C">
            <w:pPr>
              <w:spacing w:after="0" w:line="240" w:lineRule="auto"/>
              <w:jc w:val="center"/>
              <w:rPr>
                <w:rFonts w:ascii="Times New Roman" w:hAnsi="Times New Roman" w:cs="Times New Roman"/>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CE3153" w:rsidRPr="006B681B" w:rsidRDefault="00CE3153"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 вариант</w:t>
            </w:r>
          </w:p>
        </w:tc>
        <w:tc>
          <w:tcPr>
            <w:tcW w:w="1276" w:type="dxa"/>
            <w:vMerge/>
            <w:tcBorders>
              <w:left w:val="single" w:sz="4" w:space="0" w:color="auto"/>
              <w:bottom w:val="single" w:sz="4" w:space="0" w:color="auto"/>
              <w:right w:val="single" w:sz="4" w:space="0" w:color="auto"/>
            </w:tcBorders>
            <w:vAlign w:val="center"/>
          </w:tcPr>
          <w:p w:rsidR="00CE3153" w:rsidRPr="006B681B" w:rsidRDefault="00CE3153" w:rsidP="0022054C">
            <w:pPr>
              <w:spacing w:after="0" w:line="240" w:lineRule="auto"/>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vAlign w:val="center"/>
          </w:tcPr>
          <w:p w:rsidR="00CE3153" w:rsidRPr="006B681B" w:rsidRDefault="00CE3153" w:rsidP="0022054C">
            <w:pPr>
              <w:spacing w:after="0" w:line="240" w:lineRule="auto"/>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CE3153" w:rsidRPr="006B681B" w:rsidRDefault="00037666"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19 930,45</w:t>
            </w:r>
          </w:p>
          <w:p w:rsidR="001F2874" w:rsidRPr="006B681B" w:rsidRDefault="001F2874"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037666" w:rsidRPr="006B681B">
              <w:rPr>
                <w:rFonts w:ascii="Times New Roman" w:hAnsi="Times New Roman" w:cs="Times New Roman"/>
                <w:i/>
                <w:sz w:val="23"/>
                <w:szCs w:val="23"/>
              </w:rPr>
              <w:t>100,6</w:t>
            </w:r>
            <w:r w:rsidRPr="006B681B">
              <w:rPr>
                <w:rFonts w:ascii="Times New Roman" w:hAnsi="Times New Roman" w:cs="Times New Roman"/>
                <w:i/>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CE3153" w:rsidRPr="006B681B" w:rsidRDefault="00037666"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20 998,39</w:t>
            </w:r>
          </w:p>
          <w:p w:rsidR="001F2874" w:rsidRPr="006B681B" w:rsidRDefault="001F2874"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(10</w:t>
            </w:r>
            <w:r w:rsidR="00530452" w:rsidRPr="006B681B">
              <w:rPr>
                <w:rFonts w:ascii="Times New Roman" w:hAnsi="Times New Roman" w:cs="Times New Roman"/>
                <w:i/>
                <w:sz w:val="23"/>
                <w:szCs w:val="23"/>
              </w:rPr>
              <w:t>1</w:t>
            </w:r>
            <w:r w:rsidRPr="006B681B">
              <w:rPr>
                <w:rFonts w:ascii="Times New Roman" w:hAnsi="Times New Roman" w:cs="Times New Roman"/>
                <w:i/>
                <w:sz w:val="23"/>
                <w:szCs w:val="23"/>
              </w:rPr>
              <w:t>,</w:t>
            </w:r>
            <w:r w:rsidR="00037666" w:rsidRPr="006B681B">
              <w:rPr>
                <w:rFonts w:ascii="Times New Roman" w:hAnsi="Times New Roman" w:cs="Times New Roman"/>
                <w:i/>
                <w:sz w:val="23"/>
                <w:szCs w:val="23"/>
              </w:rPr>
              <w:t>3</w:t>
            </w:r>
            <w:r w:rsidRPr="006B681B">
              <w:rPr>
                <w:rFonts w:ascii="Times New Roman" w:hAnsi="Times New Roman" w:cs="Times New Roman"/>
                <w:i/>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CE3153" w:rsidRPr="006B681B" w:rsidRDefault="00037666"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22 423,31</w:t>
            </w:r>
          </w:p>
          <w:p w:rsidR="001F2874" w:rsidRPr="006B681B" w:rsidRDefault="001F2874"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EE7A05" w:rsidRPr="006B681B">
              <w:rPr>
                <w:rFonts w:ascii="Times New Roman" w:hAnsi="Times New Roman" w:cs="Times New Roman"/>
                <w:i/>
                <w:sz w:val="23"/>
                <w:szCs w:val="23"/>
              </w:rPr>
              <w:t>101,</w:t>
            </w:r>
            <w:r w:rsidR="00037666" w:rsidRPr="006B681B">
              <w:rPr>
                <w:rFonts w:ascii="Times New Roman" w:hAnsi="Times New Roman" w:cs="Times New Roman"/>
                <w:i/>
                <w:sz w:val="23"/>
                <w:szCs w:val="23"/>
              </w:rPr>
              <w:t>7</w:t>
            </w:r>
            <w:r w:rsidRPr="006B681B">
              <w:rPr>
                <w:rFonts w:ascii="Times New Roman" w:hAnsi="Times New Roman" w:cs="Times New Roman"/>
                <w:i/>
                <w:sz w:val="23"/>
                <w:szCs w:val="23"/>
              </w:rPr>
              <w:t>%)</w:t>
            </w:r>
          </w:p>
        </w:tc>
      </w:tr>
      <w:tr w:rsidR="002D258C" w:rsidRPr="006B681B" w:rsidTr="00AE6EE8">
        <w:trPr>
          <w:trHeight w:val="441"/>
        </w:trPr>
        <w:tc>
          <w:tcPr>
            <w:tcW w:w="2093" w:type="dxa"/>
            <w:vMerge w:val="restart"/>
            <w:tcBorders>
              <w:top w:val="single" w:sz="4" w:space="0" w:color="auto"/>
              <w:left w:val="single" w:sz="4" w:space="0" w:color="auto"/>
              <w:right w:val="single" w:sz="4" w:space="0" w:color="auto"/>
            </w:tcBorders>
          </w:tcPr>
          <w:p w:rsidR="002D258C" w:rsidRPr="006B681B" w:rsidRDefault="002D258C" w:rsidP="0022054C">
            <w:pPr>
              <w:spacing w:after="0" w:line="240" w:lineRule="auto"/>
              <w:jc w:val="both"/>
              <w:rPr>
                <w:rFonts w:ascii="Times New Roman" w:hAnsi="Times New Roman" w:cs="Times New Roman"/>
                <w:sz w:val="23"/>
                <w:szCs w:val="23"/>
              </w:rPr>
            </w:pPr>
            <w:r w:rsidRPr="006B681B">
              <w:rPr>
                <w:rFonts w:ascii="Times New Roman" w:hAnsi="Times New Roman" w:cs="Times New Roman"/>
                <w:sz w:val="23"/>
                <w:szCs w:val="23"/>
              </w:rPr>
              <w:t>Ввод в действие жилых домов</w:t>
            </w:r>
          </w:p>
        </w:tc>
        <w:tc>
          <w:tcPr>
            <w:tcW w:w="709" w:type="dxa"/>
            <w:vMerge w:val="restart"/>
            <w:tcBorders>
              <w:top w:val="single" w:sz="4" w:space="0" w:color="auto"/>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тыс. кв. м</w:t>
            </w: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 вариант</w:t>
            </w:r>
          </w:p>
        </w:tc>
        <w:tc>
          <w:tcPr>
            <w:tcW w:w="1276" w:type="dxa"/>
            <w:vMerge w:val="restart"/>
            <w:tcBorders>
              <w:top w:val="single" w:sz="4" w:space="0" w:color="auto"/>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15,06</w:t>
            </w:r>
          </w:p>
        </w:tc>
        <w:tc>
          <w:tcPr>
            <w:tcW w:w="1276" w:type="dxa"/>
            <w:vMerge w:val="restart"/>
            <w:tcBorders>
              <w:top w:val="single" w:sz="4" w:space="0" w:color="auto"/>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21,</w:t>
            </w:r>
            <w:r w:rsidR="00274FCD" w:rsidRPr="006B681B">
              <w:rPr>
                <w:rFonts w:ascii="Times New Roman" w:hAnsi="Times New Roman" w:cs="Times New Roman"/>
                <w:sz w:val="23"/>
                <w:szCs w:val="23"/>
              </w:rPr>
              <w:t>61</w:t>
            </w: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22,15</w:t>
            </w: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23,05</w:t>
            </w: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25,17</w:t>
            </w:r>
          </w:p>
        </w:tc>
      </w:tr>
      <w:tr w:rsidR="002D258C" w:rsidRPr="006B681B" w:rsidTr="00AE6EE8">
        <w:trPr>
          <w:trHeight w:val="561"/>
        </w:trPr>
        <w:tc>
          <w:tcPr>
            <w:tcW w:w="2093" w:type="dxa"/>
            <w:vMerge/>
            <w:tcBorders>
              <w:left w:val="single" w:sz="4" w:space="0" w:color="auto"/>
              <w:right w:val="single" w:sz="4" w:space="0" w:color="auto"/>
            </w:tcBorders>
          </w:tcPr>
          <w:p w:rsidR="002D258C" w:rsidRPr="006B681B" w:rsidRDefault="002D258C" w:rsidP="0022054C">
            <w:pPr>
              <w:spacing w:after="0" w:line="240" w:lineRule="auto"/>
              <w:jc w:val="both"/>
              <w:rPr>
                <w:rFonts w:ascii="Times New Roman" w:hAnsi="Times New Roman" w:cs="Times New Roman"/>
                <w:sz w:val="23"/>
                <w:szCs w:val="23"/>
              </w:rPr>
            </w:pPr>
          </w:p>
        </w:tc>
        <w:tc>
          <w:tcPr>
            <w:tcW w:w="709" w:type="dxa"/>
            <w:vMerge/>
            <w:tcBorders>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 вариант</w:t>
            </w:r>
          </w:p>
        </w:tc>
        <w:tc>
          <w:tcPr>
            <w:tcW w:w="1276" w:type="dxa"/>
            <w:vMerge/>
            <w:tcBorders>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p>
        </w:tc>
        <w:tc>
          <w:tcPr>
            <w:tcW w:w="1276" w:type="dxa"/>
            <w:vMerge/>
            <w:tcBorders>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22,35</w:t>
            </w: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23,25</w:t>
            </w: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25,37</w:t>
            </w:r>
          </w:p>
        </w:tc>
      </w:tr>
      <w:tr w:rsidR="002D258C" w:rsidRPr="006B681B" w:rsidTr="00AE6EE8">
        <w:trPr>
          <w:trHeight w:val="715"/>
        </w:trPr>
        <w:tc>
          <w:tcPr>
            <w:tcW w:w="2093" w:type="dxa"/>
            <w:vMerge w:val="restart"/>
            <w:tcBorders>
              <w:top w:val="single" w:sz="4" w:space="0" w:color="auto"/>
              <w:left w:val="single" w:sz="4" w:space="0" w:color="auto"/>
              <w:right w:val="single" w:sz="4" w:space="0" w:color="auto"/>
            </w:tcBorders>
          </w:tcPr>
          <w:p w:rsidR="002D258C" w:rsidRPr="006B681B" w:rsidRDefault="002D258C" w:rsidP="0022054C">
            <w:pPr>
              <w:spacing w:after="0" w:line="240" w:lineRule="auto"/>
              <w:jc w:val="both"/>
              <w:rPr>
                <w:rFonts w:ascii="Times New Roman" w:hAnsi="Times New Roman" w:cs="Times New Roman"/>
                <w:sz w:val="23"/>
                <w:szCs w:val="23"/>
              </w:rPr>
            </w:pPr>
            <w:r w:rsidRPr="006B681B">
              <w:rPr>
                <w:rFonts w:ascii="Times New Roman" w:hAnsi="Times New Roman" w:cs="Times New Roman"/>
                <w:sz w:val="23"/>
                <w:szCs w:val="23"/>
              </w:rPr>
              <w:t xml:space="preserve">Оборот розничной торговли </w:t>
            </w:r>
          </w:p>
          <w:p w:rsidR="002D258C" w:rsidRPr="006B681B" w:rsidRDefault="002D258C" w:rsidP="009801EE">
            <w:pPr>
              <w:spacing w:after="0" w:line="240" w:lineRule="auto"/>
              <w:jc w:val="both"/>
              <w:rPr>
                <w:rFonts w:ascii="Times New Roman" w:hAnsi="Times New Roman" w:cs="Times New Roman"/>
                <w:i/>
                <w:sz w:val="23"/>
                <w:szCs w:val="23"/>
              </w:rPr>
            </w:pPr>
            <w:r w:rsidRPr="006B681B">
              <w:rPr>
                <w:rFonts w:ascii="Times New Roman" w:hAnsi="Times New Roman" w:cs="Times New Roman"/>
                <w:i/>
                <w:sz w:val="23"/>
                <w:szCs w:val="23"/>
              </w:rPr>
              <w:t>(в сопоставимых ценах к уровню предыдущего года)</w:t>
            </w:r>
          </w:p>
        </w:tc>
        <w:tc>
          <w:tcPr>
            <w:tcW w:w="709" w:type="dxa"/>
            <w:vMerge w:val="restart"/>
            <w:tcBorders>
              <w:top w:val="single" w:sz="4" w:space="0" w:color="auto"/>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 xml:space="preserve">млн. руб. </w:t>
            </w:r>
          </w:p>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 вариант</w:t>
            </w:r>
          </w:p>
        </w:tc>
        <w:tc>
          <w:tcPr>
            <w:tcW w:w="1276" w:type="dxa"/>
            <w:vMerge w:val="restart"/>
            <w:tcBorders>
              <w:top w:val="single" w:sz="4" w:space="0" w:color="auto"/>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 xml:space="preserve">12 024,4 </w:t>
            </w:r>
            <w:r w:rsidRPr="006B681B">
              <w:rPr>
                <w:rFonts w:ascii="Times New Roman" w:hAnsi="Times New Roman" w:cs="Times New Roman"/>
                <w:i/>
                <w:sz w:val="23"/>
                <w:szCs w:val="23"/>
              </w:rPr>
              <w:t>(</w:t>
            </w:r>
            <w:r w:rsidR="004629AA" w:rsidRPr="006B681B">
              <w:rPr>
                <w:rFonts w:ascii="Times New Roman" w:hAnsi="Times New Roman" w:cs="Times New Roman"/>
                <w:i/>
                <w:sz w:val="23"/>
                <w:szCs w:val="23"/>
              </w:rPr>
              <w:t>97,2</w:t>
            </w:r>
            <w:r w:rsidRPr="006B681B">
              <w:rPr>
                <w:rFonts w:ascii="Times New Roman" w:hAnsi="Times New Roman" w:cs="Times New Roman"/>
                <w:i/>
                <w:sz w:val="23"/>
                <w:szCs w:val="23"/>
              </w:rPr>
              <w:t>%)</w:t>
            </w:r>
          </w:p>
        </w:tc>
        <w:tc>
          <w:tcPr>
            <w:tcW w:w="1276" w:type="dxa"/>
            <w:vMerge w:val="restart"/>
            <w:tcBorders>
              <w:top w:val="single" w:sz="4" w:space="0" w:color="auto"/>
              <w:left w:val="single" w:sz="4" w:space="0" w:color="auto"/>
              <w:right w:val="single" w:sz="4" w:space="0" w:color="auto"/>
            </w:tcBorders>
            <w:vAlign w:val="center"/>
          </w:tcPr>
          <w:p w:rsidR="002D258C" w:rsidRPr="006B681B" w:rsidRDefault="004629A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12 060,45</w:t>
            </w:r>
          </w:p>
          <w:p w:rsidR="002D258C" w:rsidRPr="006B681B" w:rsidRDefault="002D258C"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4629AA" w:rsidRPr="006B681B">
              <w:rPr>
                <w:rFonts w:ascii="Times New Roman" w:hAnsi="Times New Roman" w:cs="Times New Roman"/>
                <w:i/>
                <w:sz w:val="23"/>
                <w:szCs w:val="23"/>
              </w:rPr>
              <w:t>95,9</w:t>
            </w:r>
            <w:r w:rsidRPr="006B681B">
              <w:rPr>
                <w:rFonts w:ascii="Times New Roman" w:hAnsi="Times New Roman" w:cs="Times New Roman"/>
                <w:i/>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4629A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12 096,53</w:t>
            </w:r>
          </w:p>
          <w:p w:rsidR="002D258C" w:rsidRPr="006B681B" w:rsidRDefault="002D258C"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4629AA" w:rsidRPr="006B681B">
              <w:rPr>
                <w:rFonts w:ascii="Times New Roman" w:hAnsi="Times New Roman" w:cs="Times New Roman"/>
                <w:i/>
                <w:sz w:val="23"/>
                <w:szCs w:val="23"/>
              </w:rPr>
              <w:t>97,1</w:t>
            </w:r>
            <w:r w:rsidRPr="006B681B">
              <w:rPr>
                <w:rFonts w:ascii="Times New Roman" w:hAnsi="Times New Roman" w:cs="Times New Roman"/>
                <w:i/>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4629A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12 507,81</w:t>
            </w:r>
          </w:p>
          <w:p w:rsidR="002D258C" w:rsidRPr="006B681B" w:rsidRDefault="002D258C"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4629AA" w:rsidRPr="006B681B">
              <w:rPr>
                <w:rFonts w:ascii="Times New Roman" w:hAnsi="Times New Roman" w:cs="Times New Roman"/>
                <w:i/>
                <w:sz w:val="23"/>
                <w:szCs w:val="23"/>
              </w:rPr>
              <w:t>100,2</w:t>
            </w:r>
            <w:r w:rsidRPr="006B681B">
              <w:rPr>
                <w:rFonts w:ascii="Times New Roman" w:hAnsi="Times New Roman" w:cs="Times New Roman"/>
                <w:i/>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4629A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13 145,71</w:t>
            </w:r>
          </w:p>
          <w:p w:rsidR="002D258C" w:rsidRPr="006B681B" w:rsidRDefault="002D258C"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4629AA" w:rsidRPr="006B681B">
              <w:rPr>
                <w:rFonts w:ascii="Times New Roman" w:hAnsi="Times New Roman" w:cs="Times New Roman"/>
                <w:i/>
                <w:sz w:val="23"/>
                <w:szCs w:val="23"/>
              </w:rPr>
              <w:t>102,0</w:t>
            </w:r>
            <w:r w:rsidRPr="006B681B">
              <w:rPr>
                <w:rFonts w:ascii="Times New Roman" w:hAnsi="Times New Roman" w:cs="Times New Roman"/>
                <w:i/>
                <w:sz w:val="23"/>
                <w:szCs w:val="23"/>
              </w:rPr>
              <w:t>%)</w:t>
            </w:r>
          </w:p>
        </w:tc>
      </w:tr>
      <w:tr w:rsidR="002D258C" w:rsidRPr="006B681B" w:rsidTr="00AE6EE8">
        <w:trPr>
          <w:trHeight w:val="657"/>
        </w:trPr>
        <w:tc>
          <w:tcPr>
            <w:tcW w:w="2093" w:type="dxa"/>
            <w:vMerge/>
            <w:tcBorders>
              <w:left w:val="single" w:sz="4" w:space="0" w:color="auto"/>
              <w:bottom w:val="single" w:sz="4" w:space="0" w:color="auto"/>
              <w:right w:val="single" w:sz="4" w:space="0" w:color="auto"/>
            </w:tcBorders>
          </w:tcPr>
          <w:p w:rsidR="002D258C" w:rsidRPr="006B681B" w:rsidRDefault="002D258C" w:rsidP="0022054C">
            <w:pPr>
              <w:spacing w:after="0" w:line="240" w:lineRule="auto"/>
              <w:jc w:val="both"/>
              <w:rPr>
                <w:rFonts w:ascii="Times New Roman" w:hAnsi="Times New Roman" w:cs="Times New Roman"/>
                <w:sz w:val="23"/>
                <w:szCs w:val="23"/>
              </w:rPr>
            </w:pPr>
          </w:p>
        </w:tc>
        <w:tc>
          <w:tcPr>
            <w:tcW w:w="709" w:type="dxa"/>
            <w:vMerge/>
            <w:tcBorders>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 вариант</w:t>
            </w:r>
          </w:p>
        </w:tc>
        <w:tc>
          <w:tcPr>
            <w:tcW w:w="1276" w:type="dxa"/>
            <w:vMerge/>
            <w:tcBorders>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4629A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12 481,31</w:t>
            </w:r>
          </w:p>
          <w:p w:rsidR="002D258C" w:rsidRPr="006B681B" w:rsidRDefault="002D258C"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4629AA" w:rsidRPr="006B681B">
              <w:rPr>
                <w:rFonts w:ascii="Times New Roman" w:hAnsi="Times New Roman" w:cs="Times New Roman"/>
                <w:i/>
                <w:sz w:val="23"/>
                <w:szCs w:val="23"/>
              </w:rPr>
              <w:t>100,0</w:t>
            </w:r>
            <w:r w:rsidRPr="006B681B">
              <w:rPr>
                <w:rFonts w:ascii="Times New Roman" w:hAnsi="Times New Roman" w:cs="Times New Roman"/>
                <w:i/>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4629A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13 105,37</w:t>
            </w:r>
          </w:p>
          <w:p w:rsidR="002D258C" w:rsidRPr="006B681B" w:rsidRDefault="002D258C"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(101,5%)</w:t>
            </w: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4629A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14 062,06</w:t>
            </w:r>
            <w:r w:rsidR="002D258C" w:rsidRPr="006B681B">
              <w:rPr>
                <w:rFonts w:ascii="Times New Roman" w:hAnsi="Times New Roman" w:cs="Times New Roman"/>
                <w:sz w:val="23"/>
                <w:szCs w:val="23"/>
              </w:rPr>
              <w:t>0</w:t>
            </w:r>
          </w:p>
          <w:p w:rsidR="002D258C" w:rsidRPr="006B681B" w:rsidRDefault="002D258C" w:rsidP="0022054C">
            <w:pPr>
              <w:spacing w:after="0" w:line="240" w:lineRule="auto"/>
              <w:jc w:val="center"/>
              <w:rPr>
                <w:rFonts w:ascii="Times New Roman" w:hAnsi="Times New Roman" w:cs="Times New Roman"/>
                <w:i/>
                <w:sz w:val="23"/>
                <w:szCs w:val="23"/>
              </w:rPr>
            </w:pPr>
            <w:r w:rsidRPr="006B681B">
              <w:rPr>
                <w:rFonts w:ascii="Times New Roman" w:hAnsi="Times New Roman" w:cs="Times New Roman"/>
                <w:i/>
                <w:sz w:val="23"/>
                <w:szCs w:val="23"/>
              </w:rPr>
              <w:t>(</w:t>
            </w:r>
            <w:r w:rsidR="004629AA" w:rsidRPr="006B681B">
              <w:rPr>
                <w:rFonts w:ascii="Times New Roman" w:hAnsi="Times New Roman" w:cs="Times New Roman"/>
                <w:i/>
                <w:sz w:val="23"/>
                <w:szCs w:val="23"/>
              </w:rPr>
              <w:t>104</w:t>
            </w:r>
            <w:r w:rsidRPr="006B681B">
              <w:rPr>
                <w:rFonts w:ascii="Times New Roman" w:hAnsi="Times New Roman" w:cs="Times New Roman"/>
                <w:i/>
                <w:sz w:val="23"/>
                <w:szCs w:val="23"/>
              </w:rPr>
              <w:t>%)</w:t>
            </w:r>
          </w:p>
        </w:tc>
      </w:tr>
      <w:tr w:rsidR="002D258C" w:rsidRPr="006B681B" w:rsidTr="00AE6EE8">
        <w:trPr>
          <w:trHeight w:val="270"/>
        </w:trPr>
        <w:tc>
          <w:tcPr>
            <w:tcW w:w="2093" w:type="dxa"/>
            <w:vMerge w:val="restart"/>
            <w:tcBorders>
              <w:top w:val="single" w:sz="4" w:space="0" w:color="auto"/>
              <w:left w:val="single" w:sz="4" w:space="0" w:color="auto"/>
              <w:right w:val="single" w:sz="4" w:space="0" w:color="auto"/>
            </w:tcBorders>
          </w:tcPr>
          <w:p w:rsidR="002D258C" w:rsidRPr="006B681B" w:rsidRDefault="002D258C" w:rsidP="0022054C">
            <w:pPr>
              <w:spacing w:after="0" w:line="240" w:lineRule="auto"/>
              <w:jc w:val="both"/>
              <w:rPr>
                <w:rFonts w:ascii="Times New Roman" w:hAnsi="Times New Roman" w:cs="Times New Roman"/>
                <w:sz w:val="23"/>
                <w:szCs w:val="23"/>
              </w:rPr>
            </w:pPr>
            <w:r w:rsidRPr="006B681B">
              <w:rPr>
                <w:rFonts w:ascii="Times New Roman" w:hAnsi="Times New Roman" w:cs="Times New Roman"/>
                <w:sz w:val="23"/>
                <w:szCs w:val="23"/>
              </w:rPr>
              <w:t>Численность населения (</w:t>
            </w:r>
            <w:r w:rsidRPr="006B681B">
              <w:rPr>
                <w:rFonts w:ascii="Times New Roman" w:hAnsi="Times New Roman" w:cs="Times New Roman"/>
                <w:i/>
                <w:sz w:val="23"/>
                <w:szCs w:val="23"/>
              </w:rPr>
              <w:t>среднегодовая</w:t>
            </w:r>
            <w:r w:rsidRPr="006B681B">
              <w:rPr>
                <w:rFonts w:ascii="Times New Roman" w:hAnsi="Times New Roman" w:cs="Times New Roman"/>
                <w:sz w:val="23"/>
                <w:szCs w:val="23"/>
              </w:rPr>
              <w:t>)</w:t>
            </w:r>
          </w:p>
        </w:tc>
        <w:tc>
          <w:tcPr>
            <w:tcW w:w="709" w:type="dxa"/>
            <w:vMerge w:val="restart"/>
            <w:tcBorders>
              <w:top w:val="single" w:sz="4" w:space="0" w:color="auto"/>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тыс. чел.</w:t>
            </w: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 вариант</w:t>
            </w:r>
          </w:p>
        </w:tc>
        <w:tc>
          <w:tcPr>
            <w:tcW w:w="1276" w:type="dxa"/>
            <w:vMerge w:val="restart"/>
            <w:tcBorders>
              <w:top w:val="single" w:sz="4" w:space="0" w:color="auto"/>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61,74</w:t>
            </w:r>
          </w:p>
        </w:tc>
        <w:tc>
          <w:tcPr>
            <w:tcW w:w="1276" w:type="dxa"/>
            <w:vMerge w:val="restart"/>
            <w:tcBorders>
              <w:top w:val="single" w:sz="4" w:space="0" w:color="auto"/>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62,9</w:t>
            </w:r>
            <w:r w:rsidR="009B369A" w:rsidRPr="006B681B">
              <w:rPr>
                <w:rFonts w:ascii="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64,0</w:t>
            </w:r>
            <w:r w:rsidR="009B369A" w:rsidRPr="006B681B">
              <w:rPr>
                <w:rFonts w:ascii="Times New Roman" w:hAnsi="Times New Roman" w:cs="Times New Roman"/>
                <w:sz w:val="23"/>
                <w:szCs w:val="23"/>
              </w:rPr>
              <w:t>6</w:t>
            </w: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65,1</w:t>
            </w:r>
            <w:r w:rsidR="009B369A" w:rsidRPr="006B681B">
              <w:rPr>
                <w:rFonts w:ascii="Times New Roman" w:hAnsi="Times New Roman" w:cs="Times New Roman"/>
                <w:sz w:val="23"/>
                <w:szCs w:val="23"/>
              </w:rPr>
              <w:t>9</w:t>
            </w: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9B369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66,34</w:t>
            </w:r>
          </w:p>
        </w:tc>
      </w:tr>
      <w:tr w:rsidR="002D258C" w:rsidRPr="006B681B" w:rsidTr="00AE6EE8">
        <w:trPr>
          <w:trHeight w:val="270"/>
        </w:trPr>
        <w:tc>
          <w:tcPr>
            <w:tcW w:w="2093" w:type="dxa"/>
            <w:vMerge/>
            <w:tcBorders>
              <w:left w:val="single" w:sz="4" w:space="0" w:color="auto"/>
              <w:right w:val="single" w:sz="4" w:space="0" w:color="auto"/>
            </w:tcBorders>
          </w:tcPr>
          <w:p w:rsidR="002D258C" w:rsidRPr="006B681B" w:rsidRDefault="002D258C" w:rsidP="0022054C">
            <w:pPr>
              <w:spacing w:after="0" w:line="240" w:lineRule="auto"/>
              <w:jc w:val="both"/>
              <w:rPr>
                <w:rFonts w:ascii="Times New Roman" w:hAnsi="Times New Roman" w:cs="Times New Roman"/>
                <w:sz w:val="23"/>
                <w:szCs w:val="23"/>
              </w:rPr>
            </w:pPr>
          </w:p>
        </w:tc>
        <w:tc>
          <w:tcPr>
            <w:tcW w:w="709" w:type="dxa"/>
            <w:vMerge/>
            <w:tcBorders>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 вариант</w:t>
            </w:r>
          </w:p>
        </w:tc>
        <w:tc>
          <w:tcPr>
            <w:tcW w:w="1276" w:type="dxa"/>
            <w:vMerge/>
            <w:tcBorders>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p>
        </w:tc>
        <w:tc>
          <w:tcPr>
            <w:tcW w:w="1276" w:type="dxa"/>
            <w:vMerge/>
            <w:tcBorders>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64,0</w:t>
            </w:r>
            <w:r w:rsidR="009B369A" w:rsidRPr="006B681B">
              <w:rPr>
                <w:rFonts w:ascii="Times New Roman" w:hAnsi="Times New Roman" w:cs="Times New Roman"/>
                <w:sz w:val="23"/>
                <w:szCs w:val="23"/>
              </w:rPr>
              <w:t>9</w:t>
            </w: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9B369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65,31</w:t>
            </w: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9B369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66,57</w:t>
            </w:r>
          </w:p>
        </w:tc>
      </w:tr>
      <w:tr w:rsidR="002D258C" w:rsidRPr="006B681B" w:rsidTr="00AE6EE8">
        <w:trPr>
          <w:trHeight w:val="270"/>
        </w:trPr>
        <w:tc>
          <w:tcPr>
            <w:tcW w:w="2093" w:type="dxa"/>
            <w:vMerge w:val="restart"/>
            <w:tcBorders>
              <w:left w:val="single" w:sz="4" w:space="0" w:color="auto"/>
              <w:right w:val="single" w:sz="4" w:space="0" w:color="auto"/>
            </w:tcBorders>
          </w:tcPr>
          <w:p w:rsidR="002D258C" w:rsidRPr="006B681B" w:rsidRDefault="002D258C" w:rsidP="0022054C">
            <w:pPr>
              <w:spacing w:after="0" w:line="240" w:lineRule="auto"/>
              <w:jc w:val="both"/>
              <w:rPr>
                <w:rFonts w:ascii="Times New Roman" w:hAnsi="Times New Roman" w:cs="Times New Roman"/>
                <w:sz w:val="23"/>
                <w:szCs w:val="23"/>
              </w:rPr>
            </w:pPr>
            <w:r w:rsidRPr="006B681B">
              <w:rPr>
                <w:rFonts w:ascii="Times New Roman" w:hAnsi="Times New Roman" w:cs="Times New Roman"/>
                <w:sz w:val="23"/>
                <w:szCs w:val="23"/>
              </w:rPr>
              <w:t>Реальные денежные доходы населения</w:t>
            </w:r>
          </w:p>
        </w:tc>
        <w:tc>
          <w:tcPr>
            <w:tcW w:w="709" w:type="dxa"/>
            <w:vMerge w:val="restart"/>
            <w:tcBorders>
              <w:left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 вариант</w:t>
            </w:r>
          </w:p>
        </w:tc>
        <w:tc>
          <w:tcPr>
            <w:tcW w:w="1276" w:type="dxa"/>
            <w:vMerge w:val="restart"/>
            <w:tcBorders>
              <w:left w:val="single" w:sz="4" w:space="0" w:color="auto"/>
              <w:right w:val="single" w:sz="4" w:space="0" w:color="auto"/>
            </w:tcBorders>
            <w:vAlign w:val="center"/>
          </w:tcPr>
          <w:p w:rsidR="002D258C" w:rsidRPr="006B681B" w:rsidRDefault="009B369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95,7</w:t>
            </w:r>
          </w:p>
        </w:tc>
        <w:tc>
          <w:tcPr>
            <w:tcW w:w="1276" w:type="dxa"/>
            <w:vMerge w:val="restart"/>
            <w:tcBorders>
              <w:left w:val="single" w:sz="4" w:space="0" w:color="auto"/>
              <w:right w:val="single" w:sz="4" w:space="0" w:color="auto"/>
            </w:tcBorders>
            <w:vAlign w:val="center"/>
          </w:tcPr>
          <w:p w:rsidR="002D258C" w:rsidRPr="006B681B" w:rsidRDefault="009B369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91,4</w:t>
            </w: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104E5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98</w:t>
            </w:r>
            <w:r w:rsidR="009801EE">
              <w:rPr>
                <w:rFonts w:ascii="Times New Roman" w:hAnsi="Times New Roman" w:cs="Times New Roman"/>
                <w:sz w:val="23"/>
                <w:szCs w:val="23"/>
              </w:rPr>
              <w:t>,0</w:t>
            </w: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9B369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99,4</w:t>
            </w: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9B369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101,0</w:t>
            </w:r>
          </w:p>
        </w:tc>
      </w:tr>
      <w:tr w:rsidR="002D258C" w:rsidRPr="006B681B" w:rsidTr="00AE6EE8">
        <w:trPr>
          <w:trHeight w:val="270"/>
        </w:trPr>
        <w:tc>
          <w:tcPr>
            <w:tcW w:w="2093" w:type="dxa"/>
            <w:vMerge/>
            <w:tcBorders>
              <w:left w:val="single" w:sz="4" w:space="0" w:color="auto"/>
              <w:bottom w:val="single" w:sz="4" w:space="0" w:color="auto"/>
              <w:right w:val="single" w:sz="4" w:space="0" w:color="auto"/>
            </w:tcBorders>
          </w:tcPr>
          <w:p w:rsidR="002D258C" w:rsidRPr="006B681B" w:rsidRDefault="002D258C" w:rsidP="0022054C">
            <w:pPr>
              <w:spacing w:after="0" w:line="240" w:lineRule="auto"/>
              <w:jc w:val="both"/>
              <w:rPr>
                <w:rFonts w:ascii="Times New Roman" w:hAnsi="Times New Roman" w:cs="Times New Roman"/>
                <w:sz w:val="23"/>
                <w:szCs w:val="23"/>
              </w:rPr>
            </w:pPr>
          </w:p>
        </w:tc>
        <w:tc>
          <w:tcPr>
            <w:tcW w:w="709" w:type="dxa"/>
            <w:vMerge/>
            <w:tcBorders>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2 вариант</w:t>
            </w:r>
          </w:p>
        </w:tc>
        <w:tc>
          <w:tcPr>
            <w:tcW w:w="1276" w:type="dxa"/>
            <w:vMerge/>
            <w:tcBorders>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vAlign w:val="center"/>
          </w:tcPr>
          <w:p w:rsidR="002D258C" w:rsidRPr="006B681B" w:rsidRDefault="002D258C" w:rsidP="0022054C">
            <w:pPr>
              <w:spacing w:after="0" w:line="240" w:lineRule="auto"/>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9B369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99,9</w:t>
            </w:r>
          </w:p>
        </w:tc>
        <w:tc>
          <w:tcPr>
            <w:tcW w:w="1276" w:type="dxa"/>
            <w:tcBorders>
              <w:top w:val="single" w:sz="4" w:space="0" w:color="auto"/>
              <w:left w:val="single" w:sz="4" w:space="0" w:color="auto"/>
              <w:bottom w:val="single" w:sz="4" w:space="0" w:color="auto"/>
              <w:right w:val="single" w:sz="4" w:space="0" w:color="auto"/>
            </w:tcBorders>
            <w:vAlign w:val="center"/>
          </w:tcPr>
          <w:p w:rsidR="002D258C" w:rsidRPr="006B681B" w:rsidRDefault="00104E5C"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101,</w:t>
            </w:r>
            <w:r w:rsidR="009B369A" w:rsidRPr="006B681B">
              <w:rPr>
                <w:rFonts w:ascii="Times New Roman" w:hAnsi="Times New Roman" w:cs="Times New Roman"/>
                <w:sz w:val="23"/>
                <w:szCs w:val="23"/>
              </w:rPr>
              <w:t>4</w:t>
            </w:r>
          </w:p>
        </w:tc>
        <w:tc>
          <w:tcPr>
            <w:tcW w:w="1275" w:type="dxa"/>
            <w:tcBorders>
              <w:top w:val="single" w:sz="4" w:space="0" w:color="auto"/>
              <w:left w:val="single" w:sz="4" w:space="0" w:color="auto"/>
              <w:bottom w:val="single" w:sz="4" w:space="0" w:color="auto"/>
              <w:right w:val="single" w:sz="4" w:space="0" w:color="auto"/>
            </w:tcBorders>
            <w:vAlign w:val="center"/>
          </w:tcPr>
          <w:p w:rsidR="002D258C" w:rsidRPr="006B681B" w:rsidRDefault="009B369A" w:rsidP="0022054C">
            <w:pPr>
              <w:spacing w:after="0" w:line="240" w:lineRule="auto"/>
              <w:jc w:val="center"/>
              <w:rPr>
                <w:rFonts w:ascii="Times New Roman" w:hAnsi="Times New Roman" w:cs="Times New Roman"/>
                <w:sz w:val="23"/>
                <w:szCs w:val="23"/>
              </w:rPr>
            </w:pPr>
            <w:r w:rsidRPr="006B681B">
              <w:rPr>
                <w:rFonts w:ascii="Times New Roman" w:hAnsi="Times New Roman" w:cs="Times New Roman"/>
                <w:sz w:val="23"/>
                <w:szCs w:val="23"/>
              </w:rPr>
              <w:t>102,8</w:t>
            </w:r>
          </w:p>
        </w:tc>
      </w:tr>
    </w:tbl>
    <w:p w:rsidR="00392266" w:rsidRPr="006B681B" w:rsidRDefault="00392266" w:rsidP="0022054C">
      <w:pPr>
        <w:spacing w:after="0" w:line="240" w:lineRule="auto"/>
        <w:jc w:val="center"/>
        <w:rPr>
          <w:rFonts w:ascii="Times New Roman" w:hAnsi="Times New Roman" w:cs="Times New Roman"/>
          <w:b/>
          <w:bCs/>
          <w:sz w:val="26"/>
          <w:szCs w:val="26"/>
        </w:rPr>
      </w:pPr>
    </w:p>
    <w:p w:rsidR="00BF455F" w:rsidRPr="006B681B" w:rsidRDefault="002C4A08" w:rsidP="0022054C">
      <w:pPr>
        <w:pStyle w:val="1"/>
        <w:spacing w:before="0" w:line="240" w:lineRule="auto"/>
        <w:jc w:val="center"/>
        <w:rPr>
          <w:rFonts w:ascii="Times New Roman" w:hAnsi="Times New Roman" w:cs="Times New Roman"/>
          <w:b/>
          <w:bCs/>
          <w:color w:val="auto"/>
          <w:sz w:val="26"/>
          <w:szCs w:val="26"/>
        </w:rPr>
      </w:pPr>
      <w:bookmarkStart w:id="2" w:name="_Toc435801064"/>
      <w:r w:rsidRPr="006B681B">
        <w:rPr>
          <w:rFonts w:ascii="Times New Roman" w:hAnsi="Times New Roman" w:cs="Times New Roman"/>
          <w:b/>
          <w:bCs/>
          <w:color w:val="auto"/>
          <w:sz w:val="26"/>
          <w:szCs w:val="26"/>
        </w:rPr>
        <w:t xml:space="preserve">1. </w:t>
      </w:r>
      <w:r w:rsidR="00887E7A" w:rsidRPr="006B681B">
        <w:rPr>
          <w:rFonts w:ascii="Times New Roman" w:hAnsi="Times New Roman" w:cs="Times New Roman"/>
          <w:b/>
          <w:bCs/>
          <w:color w:val="auto"/>
          <w:sz w:val="26"/>
          <w:szCs w:val="26"/>
        </w:rPr>
        <w:t>Промышленное производство</w:t>
      </w:r>
      <w:bookmarkEnd w:id="2"/>
    </w:p>
    <w:p w:rsidR="00BF455F" w:rsidRPr="006B681B" w:rsidRDefault="00BF455F" w:rsidP="0022054C">
      <w:pPr>
        <w:spacing w:after="0" w:line="240" w:lineRule="auto"/>
        <w:jc w:val="center"/>
        <w:rPr>
          <w:rFonts w:ascii="Times New Roman" w:hAnsi="Times New Roman" w:cs="Times New Roman"/>
          <w:b/>
          <w:bCs/>
          <w:sz w:val="26"/>
          <w:szCs w:val="26"/>
        </w:rPr>
      </w:pPr>
    </w:p>
    <w:p w:rsidR="00B1749C" w:rsidRPr="006B681B" w:rsidRDefault="00B1749C"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Расчет прогноза объемов отгруженных товаров собственного производства, выполненных работ и услуг собственными силами по промышленным видам деятельности на 201</w:t>
      </w:r>
      <w:r w:rsidR="002110CB" w:rsidRPr="006B681B">
        <w:rPr>
          <w:rFonts w:ascii="Times New Roman" w:hAnsi="Times New Roman" w:cs="Times New Roman"/>
          <w:sz w:val="26"/>
          <w:szCs w:val="26"/>
        </w:rPr>
        <w:t>6</w:t>
      </w:r>
      <w:r w:rsidRPr="006B681B">
        <w:rPr>
          <w:rFonts w:ascii="Times New Roman" w:hAnsi="Times New Roman" w:cs="Times New Roman"/>
          <w:sz w:val="26"/>
          <w:szCs w:val="26"/>
        </w:rPr>
        <w:t>-201</w:t>
      </w:r>
      <w:r w:rsidR="002110CB" w:rsidRPr="006B681B">
        <w:rPr>
          <w:rFonts w:ascii="Times New Roman" w:hAnsi="Times New Roman" w:cs="Times New Roman"/>
          <w:sz w:val="26"/>
          <w:szCs w:val="26"/>
        </w:rPr>
        <w:t>8</w:t>
      </w:r>
      <w:r w:rsidRPr="006B681B">
        <w:rPr>
          <w:rFonts w:ascii="Times New Roman" w:hAnsi="Times New Roman" w:cs="Times New Roman"/>
          <w:sz w:val="26"/>
          <w:szCs w:val="26"/>
        </w:rPr>
        <w:t xml:space="preserve"> годы включает оценку 201</w:t>
      </w:r>
      <w:r w:rsidR="002110CB" w:rsidRPr="006B681B">
        <w:rPr>
          <w:rFonts w:ascii="Times New Roman" w:hAnsi="Times New Roman" w:cs="Times New Roman"/>
          <w:sz w:val="26"/>
          <w:szCs w:val="26"/>
        </w:rPr>
        <w:t>5</w:t>
      </w:r>
      <w:r w:rsidRPr="006B681B">
        <w:rPr>
          <w:rFonts w:ascii="Times New Roman" w:hAnsi="Times New Roman" w:cs="Times New Roman"/>
          <w:sz w:val="26"/>
          <w:szCs w:val="26"/>
        </w:rPr>
        <w:t xml:space="preserve"> года и отчет за 201</w:t>
      </w:r>
      <w:r w:rsidR="002110CB" w:rsidRPr="006B681B">
        <w:rPr>
          <w:rFonts w:ascii="Times New Roman" w:hAnsi="Times New Roman" w:cs="Times New Roman"/>
          <w:sz w:val="26"/>
          <w:szCs w:val="26"/>
        </w:rPr>
        <w:t>4</w:t>
      </w:r>
      <w:r w:rsidRPr="006B681B">
        <w:rPr>
          <w:rFonts w:ascii="Times New Roman" w:hAnsi="Times New Roman" w:cs="Times New Roman"/>
          <w:sz w:val="26"/>
          <w:szCs w:val="26"/>
        </w:rPr>
        <w:t xml:space="preserve"> год.</w:t>
      </w:r>
    </w:p>
    <w:p w:rsidR="00B1749C" w:rsidRPr="006B681B" w:rsidRDefault="00B1749C"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При разработке прогноза были учтены особенности сложившейся структуры и объемов отгрузки промышленного производства в 201</w:t>
      </w:r>
      <w:r w:rsidR="00726CA6" w:rsidRPr="006B681B">
        <w:rPr>
          <w:rFonts w:ascii="Times New Roman" w:hAnsi="Times New Roman" w:cs="Times New Roman"/>
          <w:sz w:val="26"/>
          <w:szCs w:val="26"/>
        </w:rPr>
        <w:t>4</w:t>
      </w:r>
      <w:r w:rsidRPr="006B681B">
        <w:rPr>
          <w:rFonts w:ascii="Times New Roman" w:hAnsi="Times New Roman" w:cs="Times New Roman"/>
          <w:sz w:val="26"/>
          <w:szCs w:val="26"/>
        </w:rPr>
        <w:t xml:space="preserve"> году. Оценка ожидаемых объемов отгруженных товаров в 201</w:t>
      </w:r>
      <w:r w:rsidR="00726CA6" w:rsidRPr="006B681B">
        <w:rPr>
          <w:rFonts w:ascii="Times New Roman" w:hAnsi="Times New Roman" w:cs="Times New Roman"/>
          <w:sz w:val="26"/>
          <w:szCs w:val="26"/>
        </w:rPr>
        <w:t>5</w:t>
      </w:r>
      <w:r w:rsidRPr="006B681B">
        <w:rPr>
          <w:rFonts w:ascii="Times New Roman" w:hAnsi="Times New Roman" w:cs="Times New Roman"/>
          <w:sz w:val="26"/>
          <w:szCs w:val="26"/>
        </w:rPr>
        <w:t xml:space="preserve"> году осуществлена на основании ежемесячных статистических данных, а также информации, полученной непосредственно от хозяйствующих субъектов.</w:t>
      </w:r>
    </w:p>
    <w:p w:rsidR="00726CA6" w:rsidRPr="006B681B" w:rsidRDefault="00726C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Промышленность играет существенную роль в экономике города Когалыма, от ее развития зависит наполняемость бюджета и решение многих социальных проблем в городе.</w:t>
      </w:r>
    </w:p>
    <w:p w:rsidR="00105C0E" w:rsidRPr="006B681B" w:rsidRDefault="00105C0E"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Промышленный комплекс города Когалыма представлен следующими основными отраслями промышленности: добыча полезных ископаемых, обрабатывающие производства, производство и распределение электроэнергии, газа и воды.</w:t>
      </w:r>
    </w:p>
    <w:p w:rsidR="00726CA6" w:rsidRPr="006B681B" w:rsidRDefault="00726C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городе Когалыме осуществляют свою деятельность более 30 крупных и средних промышленных предприятий.</w:t>
      </w:r>
    </w:p>
    <w:p w:rsidR="00D92BA5" w:rsidRPr="006B681B" w:rsidRDefault="00D92BA5"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Основные параметры развития промышленности были проведены по двум вариантам с учетом сложившейся динамики производства и результатов деятельности в 2014 году.</w:t>
      </w:r>
    </w:p>
    <w:p w:rsidR="00D92BA5" w:rsidRPr="006B681B" w:rsidRDefault="00AF5AE1"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На среднесрочную перспективу 2016-2018 годов</w:t>
      </w:r>
      <w:r w:rsidR="00AA4F91" w:rsidRPr="006B681B">
        <w:rPr>
          <w:rFonts w:ascii="Times New Roman" w:hAnsi="Times New Roman" w:cs="Times New Roman"/>
          <w:sz w:val="26"/>
          <w:szCs w:val="26"/>
        </w:rPr>
        <w:t xml:space="preserve">, по первому варианту, </w:t>
      </w:r>
      <w:r w:rsidRPr="006B681B">
        <w:rPr>
          <w:rFonts w:ascii="Times New Roman" w:hAnsi="Times New Roman" w:cs="Times New Roman"/>
          <w:sz w:val="26"/>
          <w:szCs w:val="26"/>
        </w:rPr>
        <w:t xml:space="preserve">прогнозируется </w:t>
      </w:r>
      <w:r w:rsidR="005D45E4" w:rsidRPr="006B681B">
        <w:rPr>
          <w:rFonts w:ascii="Times New Roman" w:hAnsi="Times New Roman" w:cs="Times New Roman"/>
          <w:sz w:val="26"/>
          <w:szCs w:val="26"/>
        </w:rPr>
        <w:t xml:space="preserve">снижение </w:t>
      </w:r>
      <w:r w:rsidR="00AA4F91" w:rsidRPr="006B681B">
        <w:rPr>
          <w:rFonts w:ascii="Times New Roman" w:hAnsi="Times New Roman" w:cs="Times New Roman"/>
          <w:sz w:val="26"/>
          <w:szCs w:val="26"/>
        </w:rPr>
        <w:t xml:space="preserve">объемов промышленного сектора экономики города Когалыма, и соответственно индексов промышленного производства </w:t>
      </w:r>
      <w:r w:rsidR="00D9200D" w:rsidRPr="006B681B">
        <w:rPr>
          <w:rFonts w:ascii="Times New Roman" w:hAnsi="Times New Roman" w:cs="Times New Roman"/>
          <w:sz w:val="26"/>
          <w:szCs w:val="26"/>
        </w:rPr>
        <w:t xml:space="preserve">до </w:t>
      </w:r>
      <w:r w:rsidR="005362A3" w:rsidRPr="006B681B">
        <w:rPr>
          <w:rFonts w:ascii="Times New Roman" w:hAnsi="Times New Roman" w:cs="Times New Roman"/>
          <w:sz w:val="26"/>
          <w:szCs w:val="26"/>
        </w:rPr>
        <w:t>99,39</w:t>
      </w:r>
      <w:r w:rsidRPr="006B681B">
        <w:rPr>
          <w:rFonts w:ascii="Times New Roman" w:hAnsi="Times New Roman" w:cs="Times New Roman"/>
          <w:sz w:val="26"/>
          <w:szCs w:val="26"/>
        </w:rPr>
        <w:t>%</w:t>
      </w:r>
      <w:r w:rsidR="00D9200D" w:rsidRPr="006B681B">
        <w:rPr>
          <w:rFonts w:ascii="Times New Roman" w:hAnsi="Times New Roman" w:cs="Times New Roman"/>
          <w:sz w:val="26"/>
          <w:szCs w:val="26"/>
        </w:rPr>
        <w:t xml:space="preserve"> в 2018 году</w:t>
      </w:r>
      <w:r w:rsidRPr="006B681B">
        <w:rPr>
          <w:rFonts w:ascii="Times New Roman" w:hAnsi="Times New Roman" w:cs="Times New Roman"/>
          <w:sz w:val="26"/>
          <w:szCs w:val="26"/>
        </w:rPr>
        <w:t xml:space="preserve">, </w:t>
      </w:r>
      <w:r w:rsidR="005362A3" w:rsidRPr="006B681B">
        <w:rPr>
          <w:rFonts w:ascii="Times New Roman" w:hAnsi="Times New Roman" w:cs="Times New Roman"/>
          <w:sz w:val="26"/>
          <w:szCs w:val="26"/>
        </w:rPr>
        <w:t xml:space="preserve">и рост </w:t>
      </w:r>
      <w:r w:rsidRPr="006B681B">
        <w:rPr>
          <w:rFonts w:ascii="Times New Roman" w:hAnsi="Times New Roman" w:cs="Times New Roman"/>
          <w:sz w:val="26"/>
          <w:szCs w:val="26"/>
        </w:rPr>
        <w:t xml:space="preserve">по второму варианту </w:t>
      </w:r>
      <w:r w:rsidR="00D9200D" w:rsidRPr="006B681B">
        <w:rPr>
          <w:rFonts w:ascii="Times New Roman" w:hAnsi="Times New Roman" w:cs="Times New Roman"/>
          <w:sz w:val="26"/>
          <w:szCs w:val="26"/>
        </w:rPr>
        <w:t xml:space="preserve">до </w:t>
      </w:r>
      <w:r w:rsidR="005362A3" w:rsidRPr="006B681B">
        <w:rPr>
          <w:rFonts w:ascii="Times New Roman" w:hAnsi="Times New Roman" w:cs="Times New Roman"/>
          <w:sz w:val="26"/>
          <w:szCs w:val="26"/>
        </w:rPr>
        <w:t>101,36</w:t>
      </w:r>
      <w:r w:rsidRPr="006B681B">
        <w:rPr>
          <w:rFonts w:ascii="Times New Roman" w:hAnsi="Times New Roman" w:cs="Times New Roman"/>
          <w:sz w:val="26"/>
          <w:szCs w:val="26"/>
        </w:rPr>
        <w:t>%</w:t>
      </w:r>
      <w:r w:rsidR="00D9200D" w:rsidRPr="006B681B">
        <w:rPr>
          <w:rFonts w:ascii="Times New Roman" w:hAnsi="Times New Roman" w:cs="Times New Roman"/>
          <w:sz w:val="26"/>
          <w:szCs w:val="26"/>
        </w:rPr>
        <w:t xml:space="preserve"> в 2018 году</w:t>
      </w:r>
      <w:r w:rsidRPr="006B681B">
        <w:rPr>
          <w:rFonts w:ascii="Times New Roman" w:hAnsi="Times New Roman" w:cs="Times New Roman"/>
          <w:sz w:val="26"/>
          <w:szCs w:val="26"/>
        </w:rPr>
        <w:t xml:space="preserve">. По прогнозу в 2018 году объем отгруженной продукции промышленными предприятиями достигнет уровня </w:t>
      </w:r>
      <w:r w:rsidR="00AA4F91" w:rsidRPr="006B681B">
        <w:rPr>
          <w:rFonts w:ascii="Times New Roman" w:hAnsi="Times New Roman" w:cs="Times New Roman"/>
          <w:sz w:val="26"/>
          <w:szCs w:val="26"/>
        </w:rPr>
        <w:t>36 026,31</w:t>
      </w:r>
      <w:r w:rsidRPr="006B681B">
        <w:rPr>
          <w:rFonts w:ascii="Times New Roman" w:hAnsi="Times New Roman" w:cs="Times New Roman"/>
          <w:sz w:val="26"/>
          <w:szCs w:val="26"/>
        </w:rPr>
        <w:t xml:space="preserve"> млн. рублей по второму варианту</w:t>
      </w:r>
      <w:r w:rsidR="00D92BA5" w:rsidRPr="006B681B">
        <w:rPr>
          <w:rFonts w:ascii="Times New Roman" w:hAnsi="Times New Roman" w:cs="Times New Roman"/>
          <w:sz w:val="26"/>
          <w:szCs w:val="26"/>
        </w:rPr>
        <w:t>.</w:t>
      </w:r>
    </w:p>
    <w:p w:rsidR="00D92BA5" w:rsidRPr="006B681B" w:rsidRDefault="00D92BA5"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Второй вариант ориентирует на благоприятный путь развития промышленного сектора города Когалыма. На 2016 год индекс промышленного производства по данному варианту развития планируется в размере </w:t>
      </w:r>
      <w:r w:rsidR="005362A3" w:rsidRPr="006B681B">
        <w:rPr>
          <w:rFonts w:ascii="Times New Roman" w:hAnsi="Times New Roman" w:cs="Times New Roman"/>
          <w:sz w:val="26"/>
          <w:szCs w:val="26"/>
        </w:rPr>
        <w:t>100,35</w:t>
      </w:r>
      <w:r w:rsidRPr="006B681B">
        <w:rPr>
          <w:rFonts w:ascii="Times New Roman" w:hAnsi="Times New Roman" w:cs="Times New Roman"/>
          <w:sz w:val="26"/>
          <w:szCs w:val="26"/>
        </w:rPr>
        <w:t xml:space="preserve">%, на 2017 год – </w:t>
      </w:r>
      <w:r w:rsidR="005362A3" w:rsidRPr="006B681B">
        <w:rPr>
          <w:rFonts w:ascii="Times New Roman" w:hAnsi="Times New Roman" w:cs="Times New Roman"/>
          <w:sz w:val="26"/>
          <w:szCs w:val="26"/>
        </w:rPr>
        <w:t>101,1</w:t>
      </w:r>
      <w:r w:rsidRPr="006B681B">
        <w:rPr>
          <w:rFonts w:ascii="Times New Roman" w:hAnsi="Times New Roman" w:cs="Times New Roman"/>
          <w:sz w:val="26"/>
          <w:szCs w:val="26"/>
        </w:rPr>
        <w:t xml:space="preserve">% и на 2018 год – </w:t>
      </w:r>
      <w:r w:rsidR="005362A3" w:rsidRPr="006B681B">
        <w:rPr>
          <w:rFonts w:ascii="Times New Roman" w:hAnsi="Times New Roman" w:cs="Times New Roman"/>
          <w:sz w:val="26"/>
          <w:szCs w:val="26"/>
        </w:rPr>
        <w:t>101,36</w:t>
      </w:r>
      <w:r w:rsidRPr="006B681B">
        <w:rPr>
          <w:rFonts w:ascii="Times New Roman" w:hAnsi="Times New Roman" w:cs="Times New Roman"/>
          <w:sz w:val="26"/>
          <w:szCs w:val="26"/>
        </w:rPr>
        <w:t>%.</w:t>
      </w:r>
    </w:p>
    <w:p w:rsidR="00B1749C" w:rsidRPr="006B681B" w:rsidRDefault="00B1749C"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Общий объем отгруженных товаров собственного производства, выполненных работ и услуг собственными силами по полному кругу предприятий в 201</w:t>
      </w:r>
      <w:r w:rsidR="00726CA6" w:rsidRPr="006B681B">
        <w:rPr>
          <w:rFonts w:ascii="Times New Roman" w:hAnsi="Times New Roman" w:cs="Times New Roman"/>
          <w:sz w:val="26"/>
          <w:szCs w:val="26"/>
        </w:rPr>
        <w:t>5</w:t>
      </w:r>
      <w:r w:rsidRPr="006B681B">
        <w:rPr>
          <w:rFonts w:ascii="Times New Roman" w:hAnsi="Times New Roman" w:cs="Times New Roman"/>
          <w:sz w:val="26"/>
          <w:szCs w:val="26"/>
        </w:rPr>
        <w:t xml:space="preserve"> году, согласно предварительной оценке, составит </w:t>
      </w:r>
      <w:r w:rsidR="007D13C4" w:rsidRPr="006B681B">
        <w:rPr>
          <w:rFonts w:ascii="Times New Roman" w:hAnsi="Times New Roman" w:cs="Times New Roman"/>
          <w:sz w:val="26"/>
          <w:szCs w:val="26"/>
        </w:rPr>
        <w:t>28 021,94</w:t>
      </w:r>
      <w:r w:rsidRPr="006B681B">
        <w:rPr>
          <w:rFonts w:ascii="Times New Roman" w:hAnsi="Times New Roman" w:cs="Times New Roman"/>
          <w:sz w:val="26"/>
          <w:szCs w:val="26"/>
        </w:rPr>
        <w:t xml:space="preserve"> млн. рублей и </w:t>
      </w:r>
      <w:r w:rsidR="008A2441" w:rsidRPr="006B681B">
        <w:rPr>
          <w:rFonts w:ascii="Times New Roman" w:hAnsi="Times New Roman" w:cs="Times New Roman"/>
          <w:sz w:val="26"/>
          <w:szCs w:val="26"/>
        </w:rPr>
        <w:t>увеличится</w:t>
      </w:r>
      <w:r w:rsidRPr="006B681B">
        <w:rPr>
          <w:rFonts w:ascii="Times New Roman" w:hAnsi="Times New Roman" w:cs="Times New Roman"/>
          <w:sz w:val="26"/>
          <w:szCs w:val="26"/>
        </w:rPr>
        <w:t xml:space="preserve"> в действующих ценах к 201</w:t>
      </w:r>
      <w:r w:rsidR="00726CA6" w:rsidRPr="006B681B">
        <w:rPr>
          <w:rFonts w:ascii="Times New Roman" w:hAnsi="Times New Roman" w:cs="Times New Roman"/>
          <w:sz w:val="26"/>
          <w:szCs w:val="26"/>
        </w:rPr>
        <w:t>4</w:t>
      </w:r>
      <w:r w:rsidRPr="006B681B">
        <w:rPr>
          <w:rFonts w:ascii="Times New Roman" w:hAnsi="Times New Roman" w:cs="Times New Roman"/>
          <w:sz w:val="26"/>
          <w:szCs w:val="26"/>
        </w:rPr>
        <w:t xml:space="preserve"> году на</w:t>
      </w:r>
      <w:r w:rsidR="005362A3" w:rsidRPr="006B681B">
        <w:rPr>
          <w:rFonts w:ascii="Times New Roman" w:hAnsi="Times New Roman" w:cs="Times New Roman"/>
          <w:sz w:val="26"/>
          <w:szCs w:val="26"/>
        </w:rPr>
        <w:t xml:space="preserve"> 1</w:t>
      </w:r>
      <w:r w:rsidR="008A2441" w:rsidRPr="006B681B">
        <w:rPr>
          <w:rFonts w:ascii="Times New Roman" w:hAnsi="Times New Roman" w:cs="Times New Roman"/>
          <w:sz w:val="26"/>
          <w:szCs w:val="26"/>
        </w:rPr>
        <w:t>7,</w:t>
      </w:r>
      <w:r w:rsidR="007D13C4" w:rsidRPr="006B681B">
        <w:rPr>
          <w:rFonts w:ascii="Times New Roman" w:hAnsi="Times New Roman" w:cs="Times New Roman"/>
          <w:sz w:val="26"/>
          <w:szCs w:val="26"/>
        </w:rPr>
        <w:t>5</w:t>
      </w:r>
      <w:r w:rsidRPr="006B681B">
        <w:rPr>
          <w:rFonts w:ascii="Times New Roman" w:hAnsi="Times New Roman" w:cs="Times New Roman"/>
          <w:sz w:val="26"/>
          <w:szCs w:val="26"/>
        </w:rPr>
        <w:t xml:space="preserve">%. При этом темп роста в сопоставимых ценах составит </w:t>
      </w:r>
      <w:r w:rsidR="007D13C4" w:rsidRPr="006B681B">
        <w:rPr>
          <w:rFonts w:ascii="Times New Roman" w:hAnsi="Times New Roman" w:cs="Times New Roman"/>
          <w:sz w:val="26"/>
          <w:szCs w:val="26"/>
        </w:rPr>
        <w:t>108,57</w:t>
      </w:r>
      <w:r w:rsidRPr="006B681B">
        <w:rPr>
          <w:rFonts w:ascii="Times New Roman" w:hAnsi="Times New Roman" w:cs="Times New Roman"/>
          <w:sz w:val="26"/>
          <w:szCs w:val="26"/>
        </w:rPr>
        <w:t>%.</w:t>
      </w:r>
    </w:p>
    <w:p w:rsidR="00567161" w:rsidRPr="006B681B" w:rsidRDefault="009B3D6E"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Наибольшую долю товарной продукции </w:t>
      </w:r>
      <w:r w:rsidR="00567161" w:rsidRPr="006B681B">
        <w:rPr>
          <w:rFonts w:ascii="Times New Roman" w:hAnsi="Times New Roman" w:cs="Times New Roman"/>
          <w:sz w:val="26"/>
          <w:szCs w:val="26"/>
        </w:rPr>
        <w:t>–</w:t>
      </w:r>
      <w:r w:rsidR="00E945CA">
        <w:rPr>
          <w:rFonts w:ascii="Times New Roman" w:hAnsi="Times New Roman" w:cs="Times New Roman"/>
          <w:sz w:val="26"/>
          <w:szCs w:val="26"/>
        </w:rPr>
        <w:t xml:space="preserve"> </w:t>
      </w:r>
      <w:r w:rsidR="007D13C4" w:rsidRPr="006B681B">
        <w:rPr>
          <w:rFonts w:ascii="Times New Roman" w:hAnsi="Times New Roman" w:cs="Times New Roman"/>
          <w:sz w:val="26"/>
          <w:szCs w:val="26"/>
        </w:rPr>
        <w:t>40,7</w:t>
      </w:r>
      <w:r w:rsidR="00567161" w:rsidRPr="006B681B">
        <w:rPr>
          <w:rFonts w:ascii="Times New Roman" w:hAnsi="Times New Roman" w:cs="Times New Roman"/>
          <w:sz w:val="26"/>
          <w:szCs w:val="26"/>
        </w:rPr>
        <w:t xml:space="preserve">% от общего объема отгруженных товаров составляют предприятия добычи полезных ископаемых. Эти предприятия в 2014 году по сравнению с предыдущим годом уменьшили объем отгруженных товаров собственного производства на 679,32 млн. рублей. </w:t>
      </w:r>
      <w:r w:rsidR="00566AE8" w:rsidRPr="006B681B">
        <w:rPr>
          <w:rFonts w:ascii="Times New Roman" w:hAnsi="Times New Roman" w:cs="Times New Roman"/>
          <w:sz w:val="26"/>
          <w:szCs w:val="26"/>
        </w:rPr>
        <w:t>Индекс производства</w:t>
      </w:r>
      <w:r w:rsidR="00567161" w:rsidRPr="006B681B">
        <w:rPr>
          <w:rFonts w:ascii="Times New Roman" w:hAnsi="Times New Roman" w:cs="Times New Roman"/>
          <w:sz w:val="26"/>
          <w:szCs w:val="26"/>
        </w:rPr>
        <w:t xml:space="preserve"> по данному виду экономической деятельности составил 89,43%. По оценке в 2015 году объем отгруженных товаров, выполненных работ и услуг, связанных с добычей нефти и нефтяного (попутного) газа, составит </w:t>
      </w:r>
      <w:r w:rsidR="007D13C4" w:rsidRPr="006B681B">
        <w:rPr>
          <w:rFonts w:ascii="Times New Roman" w:hAnsi="Times New Roman" w:cs="Times New Roman"/>
          <w:sz w:val="26"/>
          <w:szCs w:val="26"/>
        </w:rPr>
        <w:t>10 236,21</w:t>
      </w:r>
      <w:r w:rsidR="005362A3" w:rsidRPr="006B681B">
        <w:rPr>
          <w:rFonts w:ascii="Times New Roman" w:hAnsi="Times New Roman" w:cs="Times New Roman"/>
          <w:sz w:val="26"/>
          <w:szCs w:val="26"/>
        </w:rPr>
        <w:t xml:space="preserve"> </w:t>
      </w:r>
      <w:r w:rsidR="00567161" w:rsidRPr="006B681B">
        <w:rPr>
          <w:rFonts w:ascii="Times New Roman" w:hAnsi="Times New Roman" w:cs="Times New Roman"/>
          <w:sz w:val="26"/>
          <w:szCs w:val="26"/>
        </w:rPr>
        <w:t xml:space="preserve">млн. рублей, или </w:t>
      </w:r>
      <w:r w:rsidR="005362A3" w:rsidRPr="006B681B">
        <w:rPr>
          <w:rFonts w:ascii="Times New Roman" w:hAnsi="Times New Roman" w:cs="Times New Roman"/>
          <w:sz w:val="26"/>
          <w:szCs w:val="26"/>
        </w:rPr>
        <w:t>96</w:t>
      </w:r>
      <w:r w:rsidR="00567161" w:rsidRPr="006B681B">
        <w:rPr>
          <w:rFonts w:ascii="Times New Roman" w:hAnsi="Times New Roman" w:cs="Times New Roman"/>
          <w:sz w:val="26"/>
          <w:szCs w:val="26"/>
        </w:rPr>
        <w:t>,</w:t>
      </w:r>
      <w:r w:rsidR="005362A3" w:rsidRPr="006B681B">
        <w:rPr>
          <w:rFonts w:ascii="Times New Roman" w:hAnsi="Times New Roman" w:cs="Times New Roman"/>
          <w:sz w:val="26"/>
          <w:szCs w:val="26"/>
        </w:rPr>
        <w:t>97</w:t>
      </w:r>
      <w:r w:rsidR="00567161" w:rsidRPr="006B681B">
        <w:rPr>
          <w:rFonts w:ascii="Times New Roman" w:hAnsi="Times New Roman" w:cs="Times New Roman"/>
          <w:sz w:val="26"/>
          <w:szCs w:val="26"/>
        </w:rPr>
        <w:t xml:space="preserve">% к предыдущему году в сопоставимых ценах. В прогнозном периоде темп роста в сопоставимых ценах отгруженных товаров, выполненных работ и услуг по второму варианту, составит: </w:t>
      </w:r>
      <w:r w:rsidR="005362A3" w:rsidRPr="006B681B">
        <w:rPr>
          <w:rFonts w:ascii="Times New Roman" w:hAnsi="Times New Roman" w:cs="Times New Roman"/>
          <w:sz w:val="26"/>
          <w:szCs w:val="26"/>
        </w:rPr>
        <w:t>98,21</w:t>
      </w:r>
      <w:r w:rsidR="00567161" w:rsidRPr="006B681B">
        <w:rPr>
          <w:rFonts w:ascii="Times New Roman" w:hAnsi="Times New Roman" w:cs="Times New Roman"/>
          <w:sz w:val="26"/>
          <w:szCs w:val="26"/>
        </w:rPr>
        <w:t xml:space="preserve">% в 2016 году, </w:t>
      </w:r>
      <w:r w:rsidR="005362A3" w:rsidRPr="006B681B">
        <w:rPr>
          <w:rFonts w:ascii="Times New Roman" w:hAnsi="Times New Roman" w:cs="Times New Roman"/>
          <w:sz w:val="26"/>
          <w:szCs w:val="26"/>
        </w:rPr>
        <w:t>98,3</w:t>
      </w:r>
      <w:r w:rsidR="00567161" w:rsidRPr="006B681B">
        <w:rPr>
          <w:rFonts w:ascii="Times New Roman" w:hAnsi="Times New Roman" w:cs="Times New Roman"/>
          <w:sz w:val="26"/>
          <w:szCs w:val="26"/>
        </w:rPr>
        <w:t xml:space="preserve">% в 2017 году и </w:t>
      </w:r>
      <w:r w:rsidR="005362A3" w:rsidRPr="006B681B">
        <w:rPr>
          <w:rFonts w:ascii="Times New Roman" w:hAnsi="Times New Roman" w:cs="Times New Roman"/>
          <w:sz w:val="26"/>
          <w:szCs w:val="26"/>
        </w:rPr>
        <w:t>98,4</w:t>
      </w:r>
      <w:r w:rsidR="00567161" w:rsidRPr="006B681B">
        <w:rPr>
          <w:rFonts w:ascii="Times New Roman" w:hAnsi="Times New Roman" w:cs="Times New Roman"/>
          <w:sz w:val="26"/>
          <w:szCs w:val="26"/>
        </w:rPr>
        <w:t>% в 2018 году.</w:t>
      </w:r>
      <w:r w:rsidR="00C163A0" w:rsidRPr="006B681B">
        <w:rPr>
          <w:rFonts w:ascii="Times New Roman" w:hAnsi="Times New Roman" w:cs="Times New Roman"/>
          <w:sz w:val="26"/>
          <w:szCs w:val="26"/>
        </w:rPr>
        <w:t xml:space="preserve"> Наиболее крупным предприятием, осуществляющим деятельность в этой отрасли, является общество с ограниченной ответственностью «ЛУКОЙЛ – Западная Сибирь». </w:t>
      </w:r>
      <w:r w:rsidR="004B410C" w:rsidRPr="006B681B">
        <w:rPr>
          <w:rFonts w:ascii="Times New Roman" w:hAnsi="Times New Roman" w:cs="Times New Roman"/>
          <w:sz w:val="26"/>
          <w:szCs w:val="26"/>
        </w:rPr>
        <w:t>Также в</w:t>
      </w:r>
      <w:r w:rsidR="005538A3" w:rsidRPr="006B681B">
        <w:rPr>
          <w:rFonts w:ascii="Times New Roman" w:hAnsi="Times New Roman" w:cs="Times New Roman"/>
          <w:sz w:val="26"/>
          <w:szCs w:val="26"/>
        </w:rPr>
        <w:t xml:space="preserve"> городе Когалыме </w:t>
      </w:r>
      <w:r w:rsidR="004B410C" w:rsidRPr="006B681B">
        <w:rPr>
          <w:rFonts w:ascii="Times New Roman" w:hAnsi="Times New Roman" w:cs="Times New Roman"/>
          <w:sz w:val="26"/>
          <w:szCs w:val="26"/>
        </w:rPr>
        <w:t>по виду деятельности «Предоставление прочих услуг, связанных с добычей нефти и газа» оказывают услуги такие предприятия как: закрытое акционерное общество «ЛУКОЙЛ – АИК», общество с ограниченной ответственность «АРГОС», общество с ограниченной ответственностью «Центр научно-исследовательских и производственных работ» и другие предприятия.</w:t>
      </w:r>
      <w:r w:rsidR="005538A3" w:rsidRPr="006B681B">
        <w:rPr>
          <w:rFonts w:ascii="Times New Roman" w:hAnsi="Times New Roman" w:cs="Times New Roman"/>
          <w:sz w:val="26"/>
          <w:szCs w:val="26"/>
        </w:rPr>
        <w:t xml:space="preserve"> </w:t>
      </w:r>
    </w:p>
    <w:p w:rsidR="00EA6F47" w:rsidRPr="006B681B" w:rsidRDefault="0046296F"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w:t>
      </w:r>
      <w:r w:rsidR="00220BDC" w:rsidRPr="006B681B">
        <w:rPr>
          <w:rFonts w:ascii="Times New Roman" w:hAnsi="Times New Roman" w:cs="Times New Roman"/>
          <w:sz w:val="26"/>
          <w:szCs w:val="26"/>
        </w:rPr>
        <w:t xml:space="preserve"> 2014 год</w:t>
      </w:r>
      <w:r w:rsidR="007D13C4" w:rsidRPr="006B681B">
        <w:rPr>
          <w:rFonts w:ascii="Times New Roman" w:hAnsi="Times New Roman" w:cs="Times New Roman"/>
          <w:sz w:val="26"/>
          <w:szCs w:val="26"/>
        </w:rPr>
        <w:t xml:space="preserve">у </w:t>
      </w:r>
      <w:r w:rsidR="00220BDC" w:rsidRPr="006B681B">
        <w:rPr>
          <w:rFonts w:ascii="Times New Roman" w:hAnsi="Times New Roman" w:cs="Times New Roman"/>
          <w:sz w:val="26"/>
          <w:szCs w:val="26"/>
        </w:rPr>
        <w:t xml:space="preserve">объем добычи нефти </w:t>
      </w:r>
      <w:r w:rsidRPr="006B681B">
        <w:rPr>
          <w:rFonts w:ascii="Times New Roman" w:hAnsi="Times New Roman" w:cs="Times New Roman"/>
          <w:sz w:val="26"/>
          <w:szCs w:val="26"/>
        </w:rPr>
        <w:t xml:space="preserve">и газа </w:t>
      </w:r>
      <w:r w:rsidR="007D13C4" w:rsidRPr="006B681B">
        <w:rPr>
          <w:rFonts w:ascii="Times New Roman" w:hAnsi="Times New Roman" w:cs="Times New Roman"/>
          <w:sz w:val="26"/>
          <w:szCs w:val="26"/>
        </w:rPr>
        <w:t>составил</w:t>
      </w:r>
      <w:r w:rsidRPr="006B681B">
        <w:rPr>
          <w:rFonts w:ascii="Times New Roman" w:hAnsi="Times New Roman" w:cs="Times New Roman"/>
          <w:sz w:val="26"/>
          <w:szCs w:val="26"/>
        </w:rPr>
        <w:t xml:space="preserve"> </w:t>
      </w:r>
      <w:r w:rsidR="00220BDC" w:rsidRPr="006B681B">
        <w:rPr>
          <w:rFonts w:ascii="Times New Roman" w:hAnsi="Times New Roman" w:cs="Times New Roman"/>
          <w:sz w:val="26"/>
          <w:szCs w:val="26"/>
        </w:rPr>
        <w:t>4,4 тыс. тонн</w:t>
      </w:r>
      <w:r w:rsidRPr="006B681B">
        <w:rPr>
          <w:rFonts w:ascii="Times New Roman" w:hAnsi="Times New Roman" w:cs="Times New Roman"/>
          <w:sz w:val="26"/>
          <w:szCs w:val="26"/>
        </w:rPr>
        <w:t xml:space="preserve"> и</w:t>
      </w:r>
      <w:r w:rsidR="00220BDC" w:rsidRPr="006B681B">
        <w:rPr>
          <w:rFonts w:ascii="Times New Roman" w:hAnsi="Times New Roman" w:cs="Times New Roman"/>
          <w:sz w:val="26"/>
          <w:szCs w:val="26"/>
        </w:rPr>
        <w:t xml:space="preserve"> 0,</w:t>
      </w:r>
      <w:r w:rsidR="00FB2244" w:rsidRPr="006B681B">
        <w:rPr>
          <w:rFonts w:ascii="Times New Roman" w:hAnsi="Times New Roman" w:cs="Times New Roman"/>
          <w:sz w:val="26"/>
          <w:szCs w:val="26"/>
        </w:rPr>
        <w:t>6</w:t>
      </w:r>
      <w:r w:rsidR="00220BDC" w:rsidRPr="006B681B">
        <w:rPr>
          <w:rFonts w:ascii="Times New Roman" w:hAnsi="Times New Roman" w:cs="Times New Roman"/>
          <w:sz w:val="26"/>
          <w:szCs w:val="26"/>
        </w:rPr>
        <w:t xml:space="preserve"> млн. куб. м</w:t>
      </w:r>
      <w:r w:rsidRPr="006B681B">
        <w:rPr>
          <w:rFonts w:ascii="Times New Roman" w:hAnsi="Times New Roman" w:cs="Times New Roman"/>
          <w:sz w:val="26"/>
          <w:szCs w:val="26"/>
        </w:rPr>
        <w:t xml:space="preserve"> соответственно</w:t>
      </w:r>
      <w:r w:rsidR="004B7F03" w:rsidRPr="006B681B">
        <w:rPr>
          <w:rFonts w:ascii="Times New Roman" w:hAnsi="Times New Roman" w:cs="Times New Roman"/>
          <w:sz w:val="26"/>
          <w:szCs w:val="26"/>
        </w:rPr>
        <w:t>. В октябре 2014 года было запущено</w:t>
      </w:r>
      <w:r w:rsidR="00220BDC" w:rsidRPr="006B681B">
        <w:rPr>
          <w:rFonts w:ascii="Times New Roman" w:hAnsi="Times New Roman" w:cs="Times New Roman"/>
          <w:sz w:val="26"/>
          <w:szCs w:val="26"/>
        </w:rPr>
        <w:t xml:space="preserve"> </w:t>
      </w:r>
      <w:r w:rsidR="004B7F03" w:rsidRPr="006B681B">
        <w:rPr>
          <w:rFonts w:ascii="Times New Roman" w:hAnsi="Times New Roman" w:cs="Times New Roman"/>
          <w:sz w:val="26"/>
          <w:szCs w:val="26"/>
        </w:rPr>
        <w:t xml:space="preserve">крупное </w:t>
      </w:r>
      <w:r w:rsidR="00220BDC" w:rsidRPr="006B681B">
        <w:rPr>
          <w:rFonts w:ascii="Times New Roman" w:hAnsi="Times New Roman" w:cs="Times New Roman"/>
          <w:sz w:val="26"/>
          <w:szCs w:val="26"/>
        </w:rPr>
        <w:t>Имилорско</w:t>
      </w:r>
      <w:r w:rsidR="004B7F03" w:rsidRPr="006B681B">
        <w:rPr>
          <w:rFonts w:ascii="Times New Roman" w:hAnsi="Times New Roman" w:cs="Times New Roman"/>
          <w:sz w:val="26"/>
          <w:szCs w:val="26"/>
        </w:rPr>
        <w:t>е</w:t>
      </w:r>
      <w:r w:rsidR="00220BDC" w:rsidRPr="006B681B">
        <w:rPr>
          <w:rFonts w:ascii="Times New Roman" w:hAnsi="Times New Roman" w:cs="Times New Roman"/>
          <w:sz w:val="26"/>
          <w:szCs w:val="26"/>
        </w:rPr>
        <w:t xml:space="preserve"> месторождени</w:t>
      </w:r>
      <w:r w:rsidR="004B7F03" w:rsidRPr="006B681B">
        <w:rPr>
          <w:rFonts w:ascii="Times New Roman" w:hAnsi="Times New Roman" w:cs="Times New Roman"/>
          <w:sz w:val="26"/>
          <w:szCs w:val="26"/>
        </w:rPr>
        <w:t xml:space="preserve">е. Это не только одно из крупнейших месторождений Югры, но одно из самых масштабных в России. По предварительным данным, запасы этого месторождения составляют 200 миллионов тонн. </w:t>
      </w:r>
      <w:r w:rsidR="003C6698" w:rsidRPr="006B681B">
        <w:rPr>
          <w:rFonts w:ascii="Times New Roman" w:hAnsi="Times New Roman" w:cs="Times New Roman"/>
          <w:sz w:val="26"/>
          <w:szCs w:val="26"/>
        </w:rPr>
        <w:t xml:space="preserve">По предварительной оценке, в 2015 году ожидается, что добыча нефти составит </w:t>
      </w:r>
      <w:r w:rsidR="00E82B16" w:rsidRPr="006B681B">
        <w:rPr>
          <w:rFonts w:ascii="Times New Roman" w:hAnsi="Times New Roman" w:cs="Times New Roman"/>
          <w:sz w:val="26"/>
          <w:szCs w:val="26"/>
        </w:rPr>
        <w:t>92,3</w:t>
      </w:r>
      <w:r w:rsidR="003C6698" w:rsidRPr="006B681B">
        <w:rPr>
          <w:rFonts w:ascii="Times New Roman" w:hAnsi="Times New Roman" w:cs="Times New Roman"/>
          <w:sz w:val="26"/>
          <w:szCs w:val="26"/>
        </w:rPr>
        <w:t xml:space="preserve"> тыс. тонн и добыча газа – </w:t>
      </w:r>
      <w:r w:rsidR="00E82B16" w:rsidRPr="006B681B">
        <w:rPr>
          <w:rFonts w:ascii="Times New Roman" w:hAnsi="Times New Roman" w:cs="Times New Roman"/>
          <w:sz w:val="26"/>
          <w:szCs w:val="26"/>
        </w:rPr>
        <w:t>5,7</w:t>
      </w:r>
      <w:r w:rsidR="003C6698" w:rsidRPr="006B681B">
        <w:rPr>
          <w:rFonts w:ascii="Times New Roman" w:hAnsi="Times New Roman" w:cs="Times New Roman"/>
          <w:sz w:val="26"/>
          <w:szCs w:val="26"/>
        </w:rPr>
        <w:t xml:space="preserve"> млн. куб. м</w:t>
      </w:r>
      <w:r w:rsidR="00220BDC" w:rsidRPr="006B681B">
        <w:rPr>
          <w:rFonts w:ascii="Times New Roman" w:hAnsi="Times New Roman" w:cs="Times New Roman"/>
          <w:sz w:val="26"/>
          <w:szCs w:val="26"/>
        </w:rPr>
        <w:t xml:space="preserve">. В прогнозном периоде ожидается, что добыча нефти составит </w:t>
      </w:r>
      <w:r w:rsidR="00FB2244" w:rsidRPr="006B681B">
        <w:rPr>
          <w:rFonts w:ascii="Times New Roman" w:hAnsi="Times New Roman" w:cs="Times New Roman"/>
          <w:sz w:val="26"/>
          <w:szCs w:val="26"/>
        </w:rPr>
        <w:t>91,0</w:t>
      </w:r>
      <w:r w:rsidR="00220BDC" w:rsidRPr="006B681B">
        <w:rPr>
          <w:rFonts w:ascii="Times New Roman" w:hAnsi="Times New Roman" w:cs="Times New Roman"/>
          <w:sz w:val="26"/>
          <w:szCs w:val="26"/>
        </w:rPr>
        <w:t xml:space="preserve"> тыс. тонн </w:t>
      </w:r>
      <w:r w:rsidR="00FB2244" w:rsidRPr="006B681B">
        <w:rPr>
          <w:rFonts w:ascii="Times New Roman" w:hAnsi="Times New Roman" w:cs="Times New Roman"/>
          <w:sz w:val="26"/>
          <w:szCs w:val="26"/>
        </w:rPr>
        <w:t>в 2018 году по первому варианту и 94,3</w:t>
      </w:r>
      <w:r w:rsidR="00220BDC" w:rsidRPr="006B681B">
        <w:rPr>
          <w:rFonts w:ascii="Times New Roman" w:hAnsi="Times New Roman" w:cs="Times New Roman"/>
          <w:sz w:val="26"/>
          <w:szCs w:val="26"/>
        </w:rPr>
        <w:t xml:space="preserve"> тыс. тонн по второму варианту. Добыча газа ожидается в объеме </w:t>
      </w:r>
      <w:r w:rsidR="00FB2244" w:rsidRPr="006B681B">
        <w:rPr>
          <w:rFonts w:ascii="Times New Roman" w:hAnsi="Times New Roman" w:cs="Times New Roman"/>
          <w:sz w:val="26"/>
          <w:szCs w:val="26"/>
        </w:rPr>
        <w:t>5,55</w:t>
      </w:r>
      <w:r w:rsidR="00220BDC" w:rsidRPr="006B681B">
        <w:rPr>
          <w:rFonts w:ascii="Times New Roman" w:hAnsi="Times New Roman" w:cs="Times New Roman"/>
          <w:sz w:val="26"/>
          <w:szCs w:val="26"/>
        </w:rPr>
        <w:t xml:space="preserve"> млн. куб. м по первому варианту в 2</w:t>
      </w:r>
      <w:r w:rsidR="003C6698" w:rsidRPr="006B681B">
        <w:rPr>
          <w:rFonts w:ascii="Times New Roman" w:hAnsi="Times New Roman" w:cs="Times New Roman"/>
          <w:sz w:val="26"/>
          <w:szCs w:val="26"/>
        </w:rPr>
        <w:t>0</w:t>
      </w:r>
      <w:r w:rsidR="00220BDC" w:rsidRPr="006B681B">
        <w:rPr>
          <w:rFonts w:ascii="Times New Roman" w:hAnsi="Times New Roman" w:cs="Times New Roman"/>
          <w:sz w:val="26"/>
          <w:szCs w:val="26"/>
        </w:rPr>
        <w:t xml:space="preserve">18 году и </w:t>
      </w:r>
      <w:r w:rsidR="00DA7468" w:rsidRPr="006B681B">
        <w:rPr>
          <w:rFonts w:ascii="Times New Roman" w:hAnsi="Times New Roman" w:cs="Times New Roman"/>
          <w:sz w:val="26"/>
          <w:szCs w:val="26"/>
        </w:rPr>
        <w:t>5,9</w:t>
      </w:r>
      <w:r w:rsidR="00220BDC" w:rsidRPr="006B681B">
        <w:rPr>
          <w:rFonts w:ascii="Times New Roman" w:hAnsi="Times New Roman" w:cs="Times New Roman"/>
          <w:sz w:val="26"/>
          <w:szCs w:val="26"/>
        </w:rPr>
        <w:t xml:space="preserve"> млн. куб. м по второму варианту.</w:t>
      </w:r>
    </w:p>
    <w:p w:rsidR="000F0FD0" w:rsidRPr="006B681B" w:rsidRDefault="000F0FD0" w:rsidP="0022054C">
      <w:pPr>
        <w:spacing w:after="0" w:line="240" w:lineRule="auto"/>
        <w:ind w:firstLine="709"/>
        <w:jc w:val="center"/>
        <w:rPr>
          <w:rFonts w:ascii="Times New Roman" w:hAnsi="Times New Roman" w:cs="Times New Roman"/>
          <w:b/>
          <w:sz w:val="26"/>
          <w:szCs w:val="26"/>
        </w:rPr>
      </w:pPr>
    </w:p>
    <w:p w:rsidR="008E18AC" w:rsidRPr="006B681B" w:rsidRDefault="008E18AC" w:rsidP="0022054C">
      <w:pPr>
        <w:spacing w:after="0" w:line="240" w:lineRule="auto"/>
        <w:ind w:firstLine="709"/>
        <w:jc w:val="center"/>
        <w:rPr>
          <w:rFonts w:ascii="Times New Roman" w:hAnsi="Times New Roman" w:cs="Times New Roman"/>
          <w:b/>
          <w:sz w:val="26"/>
          <w:szCs w:val="26"/>
        </w:rPr>
      </w:pPr>
      <w:r w:rsidRPr="006B681B">
        <w:rPr>
          <w:rFonts w:ascii="Times New Roman" w:hAnsi="Times New Roman" w:cs="Times New Roman"/>
          <w:b/>
          <w:sz w:val="26"/>
          <w:szCs w:val="26"/>
        </w:rPr>
        <w:t>Объем отгруженных товаров собственного производства, выполненных работ и услуг собственными силами</w:t>
      </w:r>
      <w:r w:rsidR="008B6859" w:rsidRPr="006B681B">
        <w:rPr>
          <w:rFonts w:ascii="Times New Roman" w:hAnsi="Times New Roman" w:cs="Times New Roman"/>
          <w:b/>
          <w:sz w:val="26"/>
          <w:szCs w:val="26"/>
        </w:rPr>
        <w:t xml:space="preserve"> за 2014 год</w:t>
      </w:r>
      <w:r w:rsidRPr="006B681B">
        <w:rPr>
          <w:rFonts w:ascii="Times New Roman" w:hAnsi="Times New Roman" w:cs="Times New Roman"/>
          <w:b/>
          <w:sz w:val="26"/>
          <w:szCs w:val="26"/>
        </w:rPr>
        <w:t>, млн. рублей, %</w:t>
      </w:r>
    </w:p>
    <w:p w:rsidR="008E18AC" w:rsidRPr="006B681B" w:rsidRDefault="008E18AC" w:rsidP="0022054C">
      <w:pPr>
        <w:spacing w:after="0" w:line="240" w:lineRule="auto"/>
        <w:jc w:val="both"/>
        <w:rPr>
          <w:rFonts w:ascii="Times New Roman" w:hAnsi="Times New Roman" w:cs="Times New Roman"/>
          <w:sz w:val="26"/>
          <w:szCs w:val="26"/>
        </w:rPr>
      </w:pPr>
      <w:r w:rsidRPr="006B681B">
        <w:rPr>
          <w:rFonts w:ascii="Times New Roman" w:hAnsi="Times New Roman" w:cs="Times New Roman"/>
          <w:noProof/>
          <w:sz w:val="26"/>
          <w:szCs w:val="26"/>
          <w:lang w:eastAsia="ru-RU"/>
        </w:rPr>
        <w:drawing>
          <wp:inline distT="0" distB="0" distL="0" distR="0" wp14:anchorId="47FFB98C" wp14:editId="387E026E">
            <wp:extent cx="6086475" cy="2682815"/>
            <wp:effectExtent l="0" t="0" r="0" b="38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7161" w:rsidRPr="006B681B" w:rsidRDefault="00AE254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Вторым по значимости видом деятельности в 2014 году в городе Когалыме продолжает оставаться «Производство и распределение электроэнергии, газа и воды». На долю данного вида деятельности приходится </w:t>
      </w:r>
      <w:r w:rsidR="004F347E" w:rsidRPr="006B681B">
        <w:rPr>
          <w:rFonts w:ascii="Times New Roman" w:hAnsi="Times New Roman" w:cs="Times New Roman"/>
          <w:sz w:val="26"/>
          <w:szCs w:val="26"/>
        </w:rPr>
        <w:t>около</w:t>
      </w:r>
      <w:r w:rsidR="008B6859" w:rsidRPr="006B681B">
        <w:rPr>
          <w:rFonts w:ascii="Times New Roman" w:hAnsi="Times New Roman" w:cs="Times New Roman"/>
          <w:sz w:val="26"/>
          <w:szCs w:val="26"/>
        </w:rPr>
        <w:t xml:space="preserve"> </w:t>
      </w:r>
      <w:r w:rsidR="00876D1E" w:rsidRPr="006B681B">
        <w:rPr>
          <w:rFonts w:ascii="Times New Roman" w:hAnsi="Times New Roman" w:cs="Times New Roman"/>
          <w:sz w:val="26"/>
          <w:szCs w:val="26"/>
        </w:rPr>
        <w:t>38,9</w:t>
      </w:r>
      <w:r w:rsidRPr="006B681B">
        <w:rPr>
          <w:rFonts w:ascii="Times New Roman" w:hAnsi="Times New Roman" w:cs="Times New Roman"/>
          <w:sz w:val="26"/>
          <w:szCs w:val="26"/>
        </w:rPr>
        <w:t>% от общего объема отгруженных товаров собственного производства, выполненных работ и услуг собственными силами.</w:t>
      </w:r>
    </w:p>
    <w:p w:rsidR="00AE2546" w:rsidRPr="006B681B" w:rsidRDefault="00AE2546" w:rsidP="0022054C">
      <w:pPr>
        <w:spacing w:after="0" w:line="240" w:lineRule="auto"/>
        <w:ind w:firstLine="709"/>
        <w:jc w:val="both"/>
        <w:rPr>
          <w:rFonts w:ascii="Times New Roman" w:hAnsi="Times New Roman" w:cs="Times New Roman"/>
          <w:b/>
          <w:bCs/>
          <w:sz w:val="26"/>
          <w:szCs w:val="26"/>
        </w:rPr>
      </w:pPr>
      <w:r w:rsidRPr="006B681B">
        <w:rPr>
          <w:rFonts w:ascii="Times New Roman" w:hAnsi="Times New Roman" w:cs="Times New Roman"/>
          <w:sz w:val="26"/>
          <w:szCs w:val="26"/>
        </w:rPr>
        <w:t xml:space="preserve">Объем отгруженных товаров собственного производства, выполненных работ и услуг своими силами в рамках вида деятельности «Производство и распределение электроэнергии, газа и воды» в 2014 году увеличился на 939,26 млн. рублей. </w:t>
      </w:r>
      <w:r w:rsidR="00FD0343" w:rsidRPr="006B681B">
        <w:rPr>
          <w:rFonts w:ascii="Times New Roman" w:hAnsi="Times New Roman" w:cs="Times New Roman"/>
          <w:sz w:val="26"/>
          <w:szCs w:val="26"/>
        </w:rPr>
        <w:t>Индекс производства</w:t>
      </w:r>
      <w:r w:rsidRPr="006B681B">
        <w:rPr>
          <w:rFonts w:ascii="Times New Roman" w:hAnsi="Times New Roman" w:cs="Times New Roman"/>
          <w:sz w:val="26"/>
          <w:szCs w:val="26"/>
        </w:rPr>
        <w:t xml:space="preserve"> по данному виду экономической деятельности составил 105,54%. В 2015 году ожидается рост объема отгруженных товаров до </w:t>
      </w:r>
      <w:r w:rsidR="00E56A43" w:rsidRPr="006B681B">
        <w:rPr>
          <w:rFonts w:ascii="Times New Roman" w:hAnsi="Times New Roman" w:cs="Times New Roman"/>
          <w:sz w:val="26"/>
          <w:szCs w:val="26"/>
        </w:rPr>
        <w:t>9 616,99</w:t>
      </w:r>
      <w:r w:rsidRPr="006B681B">
        <w:rPr>
          <w:rFonts w:ascii="Times New Roman" w:hAnsi="Times New Roman" w:cs="Times New Roman"/>
          <w:sz w:val="26"/>
          <w:szCs w:val="26"/>
        </w:rPr>
        <w:t xml:space="preserve"> млн. рублей, при этом </w:t>
      </w:r>
      <w:r w:rsidR="00A477B9" w:rsidRPr="006B681B">
        <w:rPr>
          <w:rFonts w:ascii="Times New Roman" w:hAnsi="Times New Roman" w:cs="Times New Roman"/>
          <w:sz w:val="26"/>
          <w:szCs w:val="26"/>
        </w:rPr>
        <w:t>и</w:t>
      </w:r>
      <w:r w:rsidR="00E56A43" w:rsidRPr="006B681B">
        <w:rPr>
          <w:rFonts w:ascii="Times New Roman" w:hAnsi="Times New Roman" w:cs="Times New Roman"/>
          <w:sz w:val="26"/>
          <w:szCs w:val="26"/>
        </w:rPr>
        <w:t>ндекс производства составит 96,3</w:t>
      </w:r>
      <w:r w:rsidR="00A477B9" w:rsidRPr="006B681B">
        <w:rPr>
          <w:rFonts w:ascii="Times New Roman" w:hAnsi="Times New Roman" w:cs="Times New Roman"/>
          <w:sz w:val="26"/>
          <w:szCs w:val="26"/>
        </w:rPr>
        <w:t>%.</w:t>
      </w:r>
      <w:r w:rsidRPr="006B681B">
        <w:rPr>
          <w:rFonts w:ascii="Times New Roman" w:hAnsi="Times New Roman" w:cs="Times New Roman"/>
          <w:sz w:val="26"/>
          <w:szCs w:val="26"/>
        </w:rPr>
        <w:t xml:space="preserve"> </w:t>
      </w:r>
      <w:r w:rsidR="00FD0343" w:rsidRPr="006B681B">
        <w:rPr>
          <w:rFonts w:ascii="Times New Roman" w:hAnsi="Times New Roman" w:cs="Times New Roman"/>
          <w:sz w:val="26"/>
          <w:szCs w:val="26"/>
        </w:rPr>
        <w:t xml:space="preserve">В прогнозном периоде </w:t>
      </w:r>
      <w:r w:rsidR="00363913" w:rsidRPr="006B681B">
        <w:rPr>
          <w:rFonts w:ascii="Times New Roman" w:hAnsi="Times New Roman" w:cs="Times New Roman"/>
          <w:sz w:val="26"/>
          <w:szCs w:val="26"/>
        </w:rPr>
        <w:t>индекс</w:t>
      </w:r>
      <w:r w:rsidR="00FD0343" w:rsidRPr="006B681B">
        <w:rPr>
          <w:rFonts w:ascii="Times New Roman" w:hAnsi="Times New Roman" w:cs="Times New Roman"/>
          <w:sz w:val="26"/>
          <w:szCs w:val="26"/>
        </w:rPr>
        <w:t xml:space="preserve"> производства по данному виду деятельности к 2018 году увеличится на 0,3</w:t>
      </w:r>
      <w:r w:rsidR="00363913" w:rsidRPr="006B681B">
        <w:rPr>
          <w:rFonts w:ascii="Times New Roman" w:hAnsi="Times New Roman" w:cs="Times New Roman"/>
          <w:sz w:val="26"/>
          <w:szCs w:val="26"/>
        </w:rPr>
        <w:t>% по первому варианту и 3,7% по второму варианту. В соответствии со спецификой данной отрасли рост показателя объемов отгрузки планируется в основном за счет увеличения количества потребителей энергоресурсов</w:t>
      </w:r>
      <w:r w:rsidR="00363913" w:rsidRPr="006B681B">
        <w:rPr>
          <w:rFonts w:ascii="Times New Roman" w:hAnsi="Times New Roman" w:cs="Times New Roman"/>
          <w:b/>
          <w:bCs/>
          <w:sz w:val="26"/>
          <w:szCs w:val="26"/>
        </w:rPr>
        <w:t>.</w:t>
      </w:r>
      <w:r w:rsidR="00A477B9" w:rsidRPr="006B681B">
        <w:rPr>
          <w:rFonts w:ascii="Times New Roman" w:hAnsi="Times New Roman" w:cs="Times New Roman"/>
          <w:b/>
          <w:bCs/>
          <w:sz w:val="26"/>
          <w:szCs w:val="26"/>
        </w:rPr>
        <w:t xml:space="preserve"> </w:t>
      </w:r>
    </w:p>
    <w:p w:rsidR="004F347E" w:rsidRPr="006B681B" w:rsidRDefault="00B1749C"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Выпуск товаров собственного производства, выполненных работ и услуг собственными силами предприятиями, входящими в раздел «Обрабатывающие производства» </w:t>
      </w:r>
      <w:r w:rsidR="008B6859" w:rsidRPr="006B681B">
        <w:rPr>
          <w:rFonts w:ascii="Times New Roman" w:hAnsi="Times New Roman" w:cs="Times New Roman"/>
          <w:sz w:val="26"/>
          <w:szCs w:val="26"/>
        </w:rPr>
        <w:t>в 2014 году,</w:t>
      </w:r>
      <w:r w:rsidRPr="006B681B">
        <w:rPr>
          <w:rFonts w:ascii="Times New Roman" w:hAnsi="Times New Roman" w:cs="Times New Roman"/>
          <w:sz w:val="26"/>
          <w:szCs w:val="26"/>
        </w:rPr>
        <w:t xml:space="preserve"> состави</w:t>
      </w:r>
      <w:r w:rsidR="004F347E" w:rsidRPr="006B681B">
        <w:rPr>
          <w:rFonts w:ascii="Times New Roman" w:hAnsi="Times New Roman" w:cs="Times New Roman"/>
          <w:sz w:val="26"/>
          <w:szCs w:val="26"/>
        </w:rPr>
        <w:t>л</w:t>
      </w:r>
      <w:r w:rsidRPr="006B681B">
        <w:rPr>
          <w:rFonts w:ascii="Times New Roman" w:hAnsi="Times New Roman" w:cs="Times New Roman"/>
          <w:sz w:val="26"/>
          <w:szCs w:val="26"/>
        </w:rPr>
        <w:t xml:space="preserve"> </w:t>
      </w:r>
      <w:r w:rsidR="004F347E" w:rsidRPr="006B681B">
        <w:rPr>
          <w:rFonts w:ascii="Times New Roman" w:hAnsi="Times New Roman" w:cs="Times New Roman"/>
          <w:sz w:val="26"/>
          <w:szCs w:val="26"/>
        </w:rPr>
        <w:t>4 855,9</w:t>
      </w:r>
      <w:r w:rsidRPr="006B681B">
        <w:rPr>
          <w:rFonts w:ascii="Times New Roman" w:hAnsi="Times New Roman" w:cs="Times New Roman"/>
          <w:sz w:val="26"/>
          <w:szCs w:val="26"/>
        </w:rPr>
        <w:t xml:space="preserve"> млн. рублей или </w:t>
      </w:r>
      <w:r w:rsidR="004F347E" w:rsidRPr="006B681B">
        <w:rPr>
          <w:rFonts w:ascii="Times New Roman" w:hAnsi="Times New Roman" w:cs="Times New Roman"/>
          <w:sz w:val="26"/>
          <w:szCs w:val="26"/>
        </w:rPr>
        <w:t>96,15</w:t>
      </w:r>
      <w:r w:rsidRPr="006B681B">
        <w:rPr>
          <w:rFonts w:ascii="Times New Roman" w:hAnsi="Times New Roman" w:cs="Times New Roman"/>
          <w:sz w:val="26"/>
          <w:szCs w:val="26"/>
        </w:rPr>
        <w:t>% к показателю 2013 года в сопоставимых ценах.</w:t>
      </w:r>
      <w:r w:rsidR="004F347E" w:rsidRPr="006B681B">
        <w:rPr>
          <w:rFonts w:ascii="Times New Roman" w:hAnsi="Times New Roman" w:cs="Times New Roman"/>
          <w:sz w:val="26"/>
          <w:szCs w:val="26"/>
        </w:rPr>
        <w:t xml:space="preserve"> На долю данного вида деятельности приходится около 2</w:t>
      </w:r>
      <w:r w:rsidR="008B6859" w:rsidRPr="006B681B">
        <w:rPr>
          <w:rFonts w:ascii="Times New Roman" w:hAnsi="Times New Roman" w:cs="Times New Roman"/>
          <w:sz w:val="26"/>
          <w:szCs w:val="26"/>
        </w:rPr>
        <w:t>0</w:t>
      </w:r>
      <w:r w:rsidR="004F347E" w:rsidRPr="006B681B">
        <w:rPr>
          <w:rFonts w:ascii="Times New Roman" w:hAnsi="Times New Roman" w:cs="Times New Roman"/>
          <w:sz w:val="26"/>
          <w:szCs w:val="26"/>
        </w:rPr>
        <w:t>,</w:t>
      </w:r>
      <w:r w:rsidR="008B6859" w:rsidRPr="006B681B">
        <w:rPr>
          <w:rFonts w:ascii="Times New Roman" w:hAnsi="Times New Roman" w:cs="Times New Roman"/>
          <w:sz w:val="26"/>
          <w:szCs w:val="26"/>
        </w:rPr>
        <w:t>4</w:t>
      </w:r>
      <w:r w:rsidR="004F347E" w:rsidRPr="006B681B">
        <w:rPr>
          <w:rFonts w:ascii="Times New Roman" w:hAnsi="Times New Roman" w:cs="Times New Roman"/>
          <w:sz w:val="26"/>
          <w:szCs w:val="26"/>
        </w:rPr>
        <w:t>% от общего объема отгруженных товаров собственного производства, выполненных работ и услуг собственными силами.</w:t>
      </w:r>
    </w:p>
    <w:p w:rsidR="00BF455F" w:rsidRPr="006B681B" w:rsidRDefault="00BF455F"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Наибольший удельный вес (в 201</w:t>
      </w:r>
      <w:r w:rsidR="001349DA" w:rsidRPr="006B681B">
        <w:rPr>
          <w:rFonts w:ascii="Times New Roman" w:hAnsi="Times New Roman" w:cs="Times New Roman"/>
          <w:sz w:val="26"/>
          <w:szCs w:val="26"/>
        </w:rPr>
        <w:t>4</w:t>
      </w:r>
      <w:r w:rsidRPr="006B681B">
        <w:rPr>
          <w:rFonts w:ascii="Times New Roman" w:hAnsi="Times New Roman" w:cs="Times New Roman"/>
          <w:sz w:val="26"/>
          <w:szCs w:val="26"/>
        </w:rPr>
        <w:t xml:space="preserve"> году - свыше 4</w:t>
      </w:r>
      <w:r w:rsidR="001349DA" w:rsidRPr="006B681B">
        <w:rPr>
          <w:rFonts w:ascii="Times New Roman" w:hAnsi="Times New Roman" w:cs="Times New Roman"/>
          <w:sz w:val="26"/>
          <w:szCs w:val="26"/>
        </w:rPr>
        <w:t>9</w:t>
      </w:r>
      <w:r w:rsidRPr="006B681B">
        <w:rPr>
          <w:rFonts w:ascii="Times New Roman" w:hAnsi="Times New Roman" w:cs="Times New Roman"/>
          <w:sz w:val="26"/>
          <w:szCs w:val="26"/>
        </w:rPr>
        <w:t>%</w:t>
      </w:r>
      <w:r w:rsidR="00BE199A" w:rsidRPr="006B681B">
        <w:rPr>
          <w:rFonts w:ascii="Times New Roman" w:hAnsi="Times New Roman" w:cs="Times New Roman"/>
          <w:sz w:val="26"/>
          <w:szCs w:val="26"/>
        </w:rPr>
        <w:t>, оценка 201</w:t>
      </w:r>
      <w:r w:rsidR="001349DA" w:rsidRPr="006B681B">
        <w:rPr>
          <w:rFonts w:ascii="Times New Roman" w:hAnsi="Times New Roman" w:cs="Times New Roman"/>
          <w:sz w:val="26"/>
          <w:szCs w:val="26"/>
        </w:rPr>
        <w:t>5</w:t>
      </w:r>
      <w:r w:rsidR="00BE199A" w:rsidRPr="006B681B">
        <w:rPr>
          <w:rFonts w:ascii="Times New Roman" w:hAnsi="Times New Roman" w:cs="Times New Roman"/>
          <w:sz w:val="26"/>
          <w:szCs w:val="26"/>
        </w:rPr>
        <w:t xml:space="preserve"> года – свыше </w:t>
      </w:r>
      <w:r w:rsidR="00E56A43" w:rsidRPr="006B681B">
        <w:rPr>
          <w:rFonts w:ascii="Times New Roman" w:hAnsi="Times New Roman" w:cs="Times New Roman"/>
          <w:sz w:val="26"/>
          <w:szCs w:val="26"/>
        </w:rPr>
        <w:t>68</w:t>
      </w:r>
      <w:r w:rsidR="00BE199A" w:rsidRPr="006B681B">
        <w:rPr>
          <w:rFonts w:ascii="Times New Roman" w:hAnsi="Times New Roman" w:cs="Times New Roman"/>
          <w:sz w:val="26"/>
          <w:szCs w:val="26"/>
        </w:rPr>
        <w:t>%</w:t>
      </w:r>
      <w:r w:rsidRPr="006B681B">
        <w:rPr>
          <w:rFonts w:ascii="Times New Roman" w:hAnsi="Times New Roman" w:cs="Times New Roman"/>
          <w:sz w:val="26"/>
          <w:szCs w:val="26"/>
        </w:rPr>
        <w:t>) в общем объеме обрабатывающего производства, приходится на предприятия, вид деятельности которых «Производство кокса и нефтепродуктов». Объем отгруженных товаров, выполненных работ и услуг данного вида деятельности составит по оценочным данным в 201</w:t>
      </w:r>
      <w:r w:rsidR="001349DA" w:rsidRPr="006B681B">
        <w:rPr>
          <w:rFonts w:ascii="Times New Roman" w:hAnsi="Times New Roman" w:cs="Times New Roman"/>
          <w:sz w:val="26"/>
          <w:szCs w:val="26"/>
        </w:rPr>
        <w:t>5</w:t>
      </w:r>
      <w:r w:rsidRPr="006B681B">
        <w:rPr>
          <w:rFonts w:ascii="Times New Roman" w:hAnsi="Times New Roman" w:cs="Times New Roman"/>
          <w:sz w:val="26"/>
          <w:szCs w:val="26"/>
        </w:rPr>
        <w:t xml:space="preserve"> году </w:t>
      </w:r>
      <w:r w:rsidR="00E56A43" w:rsidRPr="006B681B">
        <w:rPr>
          <w:rFonts w:ascii="Times New Roman" w:hAnsi="Times New Roman" w:cs="Times New Roman"/>
          <w:sz w:val="26"/>
          <w:szCs w:val="26"/>
        </w:rPr>
        <w:t>5 613,49</w:t>
      </w:r>
      <w:r w:rsidRPr="006B681B">
        <w:rPr>
          <w:rFonts w:ascii="Times New Roman" w:hAnsi="Times New Roman" w:cs="Times New Roman"/>
          <w:sz w:val="26"/>
          <w:szCs w:val="26"/>
        </w:rPr>
        <w:t xml:space="preserve"> </w:t>
      </w:r>
      <w:r w:rsidR="00363913" w:rsidRPr="006B681B">
        <w:rPr>
          <w:rFonts w:ascii="Times New Roman" w:hAnsi="Times New Roman" w:cs="Times New Roman"/>
          <w:sz w:val="26"/>
          <w:szCs w:val="26"/>
        </w:rPr>
        <w:t>млн. рублей, что в 2,3 раза превышает уровень 2014 года.</w:t>
      </w:r>
      <w:r w:rsidRPr="006B681B">
        <w:rPr>
          <w:rFonts w:ascii="Times New Roman" w:hAnsi="Times New Roman" w:cs="Times New Roman"/>
          <w:sz w:val="26"/>
          <w:szCs w:val="26"/>
        </w:rPr>
        <w:t xml:space="preserve"> </w:t>
      </w:r>
      <w:r w:rsidR="003C6698" w:rsidRPr="006B681B">
        <w:rPr>
          <w:rFonts w:ascii="Times New Roman" w:hAnsi="Times New Roman" w:cs="Times New Roman"/>
          <w:sz w:val="26"/>
          <w:szCs w:val="26"/>
        </w:rPr>
        <w:t xml:space="preserve">Такой высокий рост связан с увеличением добычи нефти в 2015 году по сравнению с 2014 годом. </w:t>
      </w:r>
      <w:r w:rsidRPr="006B681B">
        <w:rPr>
          <w:rFonts w:ascii="Times New Roman" w:hAnsi="Times New Roman" w:cs="Times New Roman"/>
          <w:sz w:val="26"/>
          <w:szCs w:val="26"/>
        </w:rPr>
        <w:t xml:space="preserve">В дальнейшем </w:t>
      </w:r>
      <w:r w:rsidR="00606C67" w:rsidRPr="006B681B">
        <w:rPr>
          <w:rFonts w:ascii="Times New Roman" w:hAnsi="Times New Roman" w:cs="Times New Roman"/>
          <w:sz w:val="26"/>
          <w:szCs w:val="26"/>
        </w:rPr>
        <w:t>индекс производства</w:t>
      </w:r>
      <w:r w:rsidRPr="006B681B">
        <w:rPr>
          <w:rFonts w:ascii="Times New Roman" w:hAnsi="Times New Roman" w:cs="Times New Roman"/>
          <w:sz w:val="26"/>
          <w:szCs w:val="26"/>
        </w:rPr>
        <w:t xml:space="preserve"> по данному виду промышленного производства составит: по первому варианту - от </w:t>
      </w:r>
      <w:r w:rsidR="00E07C57" w:rsidRPr="006B681B">
        <w:rPr>
          <w:rFonts w:ascii="Times New Roman" w:hAnsi="Times New Roman" w:cs="Times New Roman"/>
          <w:sz w:val="26"/>
          <w:szCs w:val="26"/>
        </w:rPr>
        <w:t>100,0</w:t>
      </w:r>
      <w:r w:rsidRPr="006B681B">
        <w:rPr>
          <w:rFonts w:ascii="Times New Roman" w:hAnsi="Times New Roman" w:cs="Times New Roman"/>
          <w:sz w:val="26"/>
          <w:szCs w:val="26"/>
        </w:rPr>
        <w:t>% в 201</w:t>
      </w:r>
      <w:r w:rsidR="00E07C57" w:rsidRPr="006B681B">
        <w:rPr>
          <w:rFonts w:ascii="Times New Roman" w:hAnsi="Times New Roman" w:cs="Times New Roman"/>
          <w:sz w:val="26"/>
          <w:szCs w:val="26"/>
        </w:rPr>
        <w:t>6</w:t>
      </w:r>
      <w:r w:rsidRPr="006B681B">
        <w:rPr>
          <w:rFonts w:ascii="Times New Roman" w:hAnsi="Times New Roman" w:cs="Times New Roman"/>
          <w:sz w:val="26"/>
          <w:szCs w:val="26"/>
        </w:rPr>
        <w:t xml:space="preserve"> году до </w:t>
      </w:r>
      <w:r w:rsidR="00E07C57" w:rsidRPr="006B681B">
        <w:rPr>
          <w:rFonts w:ascii="Times New Roman" w:hAnsi="Times New Roman" w:cs="Times New Roman"/>
          <w:sz w:val="26"/>
          <w:szCs w:val="26"/>
        </w:rPr>
        <w:t>100</w:t>
      </w:r>
      <w:r w:rsidR="00122C0F" w:rsidRPr="006B681B">
        <w:rPr>
          <w:rFonts w:ascii="Times New Roman" w:hAnsi="Times New Roman" w:cs="Times New Roman"/>
          <w:sz w:val="26"/>
          <w:szCs w:val="26"/>
        </w:rPr>
        <w:t>,</w:t>
      </w:r>
      <w:r w:rsidR="00E07C57" w:rsidRPr="006B681B">
        <w:rPr>
          <w:rFonts w:ascii="Times New Roman" w:hAnsi="Times New Roman" w:cs="Times New Roman"/>
          <w:sz w:val="26"/>
          <w:szCs w:val="26"/>
        </w:rPr>
        <w:t>2</w:t>
      </w:r>
      <w:r w:rsidRPr="006B681B">
        <w:rPr>
          <w:rFonts w:ascii="Times New Roman" w:hAnsi="Times New Roman" w:cs="Times New Roman"/>
          <w:sz w:val="26"/>
          <w:szCs w:val="26"/>
        </w:rPr>
        <w:t>% в 201</w:t>
      </w:r>
      <w:r w:rsidR="00707EFA" w:rsidRPr="006B681B">
        <w:rPr>
          <w:rFonts w:ascii="Times New Roman" w:hAnsi="Times New Roman" w:cs="Times New Roman"/>
          <w:sz w:val="26"/>
          <w:szCs w:val="26"/>
        </w:rPr>
        <w:t>8</w:t>
      </w:r>
      <w:r w:rsidRPr="006B681B">
        <w:rPr>
          <w:rFonts w:ascii="Times New Roman" w:hAnsi="Times New Roman" w:cs="Times New Roman"/>
          <w:sz w:val="26"/>
          <w:szCs w:val="26"/>
        </w:rPr>
        <w:t xml:space="preserve"> году</w:t>
      </w:r>
      <w:r w:rsidR="00E07C57" w:rsidRPr="006B681B">
        <w:rPr>
          <w:rFonts w:ascii="Times New Roman" w:hAnsi="Times New Roman" w:cs="Times New Roman"/>
          <w:sz w:val="26"/>
          <w:szCs w:val="26"/>
        </w:rPr>
        <w:t>; по второму варианту – от 101,0</w:t>
      </w:r>
      <w:r w:rsidRPr="006B681B">
        <w:rPr>
          <w:rFonts w:ascii="Times New Roman" w:hAnsi="Times New Roman" w:cs="Times New Roman"/>
          <w:sz w:val="26"/>
          <w:szCs w:val="26"/>
        </w:rPr>
        <w:t xml:space="preserve">% </w:t>
      </w:r>
      <w:r w:rsidR="00E07C57" w:rsidRPr="006B681B">
        <w:rPr>
          <w:rFonts w:ascii="Times New Roman" w:hAnsi="Times New Roman" w:cs="Times New Roman"/>
          <w:sz w:val="26"/>
          <w:szCs w:val="26"/>
        </w:rPr>
        <w:t>в 2016</w:t>
      </w:r>
      <w:r w:rsidRPr="006B681B">
        <w:rPr>
          <w:rFonts w:ascii="Times New Roman" w:hAnsi="Times New Roman" w:cs="Times New Roman"/>
          <w:sz w:val="26"/>
          <w:szCs w:val="26"/>
        </w:rPr>
        <w:t xml:space="preserve"> году до 101</w:t>
      </w:r>
      <w:r w:rsidR="00122C0F" w:rsidRPr="006B681B">
        <w:rPr>
          <w:rFonts w:ascii="Times New Roman" w:hAnsi="Times New Roman" w:cs="Times New Roman"/>
          <w:sz w:val="26"/>
          <w:szCs w:val="26"/>
        </w:rPr>
        <w:t>,</w:t>
      </w:r>
      <w:r w:rsidR="00707EFA" w:rsidRPr="006B681B">
        <w:rPr>
          <w:rFonts w:ascii="Times New Roman" w:hAnsi="Times New Roman" w:cs="Times New Roman"/>
          <w:sz w:val="26"/>
          <w:szCs w:val="26"/>
        </w:rPr>
        <w:t>3</w:t>
      </w:r>
      <w:r w:rsidRPr="006B681B">
        <w:rPr>
          <w:rFonts w:ascii="Times New Roman" w:hAnsi="Times New Roman" w:cs="Times New Roman"/>
          <w:sz w:val="26"/>
          <w:szCs w:val="26"/>
        </w:rPr>
        <w:t>% в 201</w:t>
      </w:r>
      <w:r w:rsidR="00707EFA" w:rsidRPr="006B681B">
        <w:rPr>
          <w:rFonts w:ascii="Times New Roman" w:hAnsi="Times New Roman" w:cs="Times New Roman"/>
          <w:sz w:val="26"/>
          <w:szCs w:val="26"/>
        </w:rPr>
        <w:t>8</w:t>
      </w:r>
      <w:r w:rsidRPr="006B681B">
        <w:rPr>
          <w:rFonts w:ascii="Times New Roman" w:hAnsi="Times New Roman" w:cs="Times New Roman"/>
          <w:sz w:val="26"/>
          <w:szCs w:val="26"/>
        </w:rPr>
        <w:t xml:space="preserve"> году.</w:t>
      </w:r>
    </w:p>
    <w:p w:rsidR="00E07C57" w:rsidRPr="006B681B" w:rsidRDefault="00BF455F"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Вторым по значимости видом деятельности в обрабатывающем производстве является «</w:t>
      </w:r>
      <w:r w:rsidR="00E07C57" w:rsidRPr="006B681B">
        <w:rPr>
          <w:rFonts w:ascii="Times New Roman" w:hAnsi="Times New Roman" w:cs="Times New Roman"/>
          <w:sz w:val="26"/>
          <w:szCs w:val="26"/>
        </w:rPr>
        <w:t>Химическое производство».</w:t>
      </w:r>
      <w:r w:rsidRPr="006B681B">
        <w:rPr>
          <w:rFonts w:ascii="Times New Roman" w:hAnsi="Times New Roman" w:cs="Times New Roman"/>
          <w:sz w:val="26"/>
          <w:szCs w:val="26"/>
        </w:rPr>
        <w:t xml:space="preserve"> В 201</w:t>
      </w:r>
      <w:r w:rsidR="00707EFA" w:rsidRPr="006B681B">
        <w:rPr>
          <w:rFonts w:ascii="Times New Roman" w:hAnsi="Times New Roman" w:cs="Times New Roman"/>
          <w:sz w:val="26"/>
          <w:szCs w:val="26"/>
        </w:rPr>
        <w:t>5</w:t>
      </w:r>
      <w:r w:rsidRPr="006B681B">
        <w:rPr>
          <w:rFonts w:ascii="Times New Roman" w:hAnsi="Times New Roman" w:cs="Times New Roman"/>
          <w:sz w:val="26"/>
          <w:szCs w:val="26"/>
        </w:rPr>
        <w:t xml:space="preserve"> году ожидается, что объем отгруженных товаров собственного производства, выполненных работ и услуг собственными силами предприятий данного вида деятельности составит </w:t>
      </w:r>
      <w:r w:rsidR="00E07C57" w:rsidRPr="006B681B">
        <w:rPr>
          <w:rFonts w:ascii="Times New Roman" w:hAnsi="Times New Roman" w:cs="Times New Roman"/>
          <w:sz w:val="26"/>
          <w:szCs w:val="26"/>
        </w:rPr>
        <w:t>930,98</w:t>
      </w:r>
      <w:r w:rsidRPr="006B681B">
        <w:rPr>
          <w:rFonts w:ascii="Times New Roman" w:hAnsi="Times New Roman" w:cs="Times New Roman"/>
          <w:sz w:val="26"/>
          <w:szCs w:val="26"/>
        </w:rPr>
        <w:t xml:space="preserve"> млн. рублей или </w:t>
      </w:r>
      <w:r w:rsidR="00707EFA" w:rsidRPr="006B681B">
        <w:rPr>
          <w:rFonts w:ascii="Times New Roman" w:hAnsi="Times New Roman" w:cs="Times New Roman"/>
          <w:sz w:val="26"/>
          <w:szCs w:val="26"/>
        </w:rPr>
        <w:t>8</w:t>
      </w:r>
      <w:r w:rsidR="00E07C57" w:rsidRPr="006B681B">
        <w:rPr>
          <w:rFonts w:ascii="Times New Roman" w:hAnsi="Times New Roman" w:cs="Times New Roman"/>
          <w:sz w:val="26"/>
          <w:szCs w:val="26"/>
        </w:rPr>
        <w:t>0</w:t>
      </w:r>
      <w:r w:rsidR="00707EFA" w:rsidRPr="006B681B">
        <w:rPr>
          <w:rFonts w:ascii="Times New Roman" w:hAnsi="Times New Roman" w:cs="Times New Roman"/>
          <w:sz w:val="26"/>
          <w:szCs w:val="26"/>
        </w:rPr>
        <w:t>,</w:t>
      </w:r>
      <w:r w:rsidR="00E07C57" w:rsidRPr="006B681B">
        <w:rPr>
          <w:rFonts w:ascii="Times New Roman" w:hAnsi="Times New Roman" w:cs="Times New Roman"/>
          <w:sz w:val="26"/>
          <w:szCs w:val="26"/>
        </w:rPr>
        <w:t>7</w:t>
      </w:r>
      <w:r w:rsidRPr="006B681B">
        <w:rPr>
          <w:rFonts w:ascii="Times New Roman" w:hAnsi="Times New Roman" w:cs="Times New Roman"/>
          <w:sz w:val="26"/>
          <w:szCs w:val="26"/>
        </w:rPr>
        <w:t>% к 201</w:t>
      </w:r>
      <w:r w:rsidR="00707EFA" w:rsidRPr="006B681B">
        <w:rPr>
          <w:rFonts w:ascii="Times New Roman" w:hAnsi="Times New Roman" w:cs="Times New Roman"/>
          <w:sz w:val="26"/>
          <w:szCs w:val="26"/>
        </w:rPr>
        <w:t>4</w:t>
      </w:r>
      <w:r w:rsidRPr="006B681B">
        <w:rPr>
          <w:rFonts w:ascii="Times New Roman" w:hAnsi="Times New Roman" w:cs="Times New Roman"/>
          <w:sz w:val="26"/>
          <w:szCs w:val="26"/>
        </w:rPr>
        <w:t xml:space="preserve"> году в сопоставимых ценах. </w:t>
      </w:r>
      <w:r w:rsidR="00E07C57" w:rsidRPr="006B681B">
        <w:rPr>
          <w:rFonts w:ascii="Times New Roman" w:hAnsi="Times New Roman" w:cs="Times New Roman"/>
          <w:sz w:val="26"/>
          <w:szCs w:val="26"/>
        </w:rPr>
        <w:t>Производство и реализацию химреагентов в городе Когалыме осуществляет общество с ограниченной ответственностью «Когалымский завод химреагентов» (далее – предприятие, ООО «КЗХ»). По данным предприятия в 2015 году ожидается снижение по продаже товаров (химреагентов), что объясняется уменьшением продаж импортной продукции, и как следствие снижение объема отгруженных товаров в 2015 году. По прогнозу ООО «КЗХ» в 2016-2018 годах планируется наращивать объемы производства продукции. К 2018 году объем отгруженных товаров химического производства по второму варианту составит 1 247,02 млн. рублей, индекс производства составит 108,9%.</w:t>
      </w:r>
    </w:p>
    <w:p w:rsidR="00A21350" w:rsidRDefault="00A21350" w:rsidP="0022054C">
      <w:pPr>
        <w:pStyle w:val="1"/>
        <w:spacing w:before="0" w:line="240" w:lineRule="auto"/>
        <w:jc w:val="center"/>
        <w:rPr>
          <w:rFonts w:ascii="Times New Roman" w:hAnsi="Times New Roman" w:cs="Times New Roman"/>
          <w:b/>
          <w:bCs/>
          <w:color w:val="auto"/>
          <w:sz w:val="26"/>
          <w:szCs w:val="26"/>
        </w:rPr>
      </w:pPr>
      <w:bookmarkStart w:id="3" w:name="_Toc435801065"/>
    </w:p>
    <w:p w:rsidR="00143F04" w:rsidRDefault="00143F04" w:rsidP="00143F04"/>
    <w:p w:rsidR="00143F04" w:rsidRPr="00143F04" w:rsidRDefault="00143F04" w:rsidP="00143F04"/>
    <w:p w:rsidR="00F05A30" w:rsidRPr="006B681B" w:rsidRDefault="00F678C3" w:rsidP="0022054C">
      <w:pPr>
        <w:pStyle w:val="1"/>
        <w:spacing w:before="0" w:line="240" w:lineRule="auto"/>
        <w:jc w:val="center"/>
        <w:rPr>
          <w:rFonts w:ascii="Times New Roman" w:hAnsi="Times New Roman" w:cs="Times New Roman"/>
          <w:b/>
          <w:bCs/>
          <w:color w:val="auto"/>
          <w:sz w:val="26"/>
          <w:szCs w:val="26"/>
        </w:rPr>
      </w:pPr>
      <w:r w:rsidRPr="006B681B">
        <w:rPr>
          <w:rFonts w:ascii="Times New Roman" w:hAnsi="Times New Roman" w:cs="Times New Roman"/>
          <w:b/>
          <w:bCs/>
          <w:color w:val="auto"/>
          <w:sz w:val="26"/>
          <w:szCs w:val="26"/>
        </w:rPr>
        <w:t xml:space="preserve">2. </w:t>
      </w:r>
      <w:r w:rsidR="00416618" w:rsidRPr="006B681B">
        <w:rPr>
          <w:rFonts w:ascii="Times New Roman" w:hAnsi="Times New Roman" w:cs="Times New Roman"/>
          <w:b/>
          <w:bCs/>
          <w:color w:val="auto"/>
          <w:sz w:val="26"/>
          <w:szCs w:val="26"/>
        </w:rPr>
        <w:t>Инвестиции</w:t>
      </w:r>
      <w:bookmarkEnd w:id="3"/>
    </w:p>
    <w:p w:rsidR="00F05A30" w:rsidRPr="006B681B" w:rsidRDefault="00F05A30" w:rsidP="0022054C">
      <w:pPr>
        <w:spacing w:after="0" w:line="240" w:lineRule="auto"/>
        <w:jc w:val="center"/>
        <w:rPr>
          <w:rFonts w:ascii="Times New Roman" w:hAnsi="Times New Roman" w:cs="Times New Roman"/>
          <w:b/>
          <w:bCs/>
          <w:sz w:val="20"/>
          <w:szCs w:val="26"/>
        </w:rPr>
      </w:pPr>
    </w:p>
    <w:p w:rsidR="003D4CD8" w:rsidRPr="006B681B" w:rsidRDefault="001873E8"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Рост инвестиций является одним из основных факторов роста экономики, развития предприятий, обновления технической и технологической базы, создания новых рабочих мест. </w:t>
      </w:r>
      <w:r w:rsidR="003D4CD8" w:rsidRPr="006B681B">
        <w:rPr>
          <w:rFonts w:ascii="Times New Roman" w:hAnsi="Times New Roman" w:cs="Times New Roman"/>
          <w:sz w:val="26"/>
          <w:szCs w:val="26"/>
        </w:rPr>
        <w:t xml:space="preserve">В среднесрочном периоде </w:t>
      </w:r>
      <w:r w:rsidR="00B64EA5">
        <w:rPr>
          <w:rFonts w:ascii="Times New Roman" w:hAnsi="Times New Roman" w:cs="Times New Roman"/>
          <w:sz w:val="26"/>
          <w:szCs w:val="26"/>
        </w:rPr>
        <w:t>Администрация</w:t>
      </w:r>
      <w:r w:rsidR="003D4CD8" w:rsidRPr="006B681B">
        <w:rPr>
          <w:rFonts w:ascii="Times New Roman" w:hAnsi="Times New Roman" w:cs="Times New Roman"/>
          <w:sz w:val="26"/>
          <w:szCs w:val="26"/>
        </w:rPr>
        <w:t xml:space="preserve"> города Когалыма продолжит проведение инвестиционной политики, направленной на создание максимально комфортных условий для инвесторов, на совершенствование организационных условий ведения предпринимательской деятельности. </w:t>
      </w:r>
    </w:p>
    <w:p w:rsidR="00672C4A" w:rsidRPr="006B681B" w:rsidRDefault="00F05A3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По оценке объём инвестиций в основной капитал в 201</w:t>
      </w:r>
      <w:r w:rsidR="003D4CD8" w:rsidRPr="006B681B">
        <w:rPr>
          <w:rFonts w:ascii="Times New Roman" w:hAnsi="Times New Roman" w:cs="Times New Roman"/>
          <w:sz w:val="26"/>
          <w:szCs w:val="26"/>
        </w:rPr>
        <w:t>5</w:t>
      </w:r>
      <w:r w:rsidRPr="006B681B">
        <w:rPr>
          <w:rFonts w:ascii="Times New Roman" w:hAnsi="Times New Roman" w:cs="Times New Roman"/>
          <w:sz w:val="26"/>
          <w:szCs w:val="26"/>
        </w:rPr>
        <w:t xml:space="preserve"> году составит </w:t>
      </w:r>
      <w:r w:rsidR="00416618" w:rsidRPr="006B681B">
        <w:rPr>
          <w:rFonts w:ascii="Times New Roman" w:hAnsi="Times New Roman" w:cs="Times New Roman"/>
          <w:sz w:val="26"/>
          <w:szCs w:val="26"/>
        </w:rPr>
        <w:t>19 137,15</w:t>
      </w:r>
      <w:r w:rsidRPr="006B681B">
        <w:rPr>
          <w:rFonts w:ascii="Times New Roman" w:hAnsi="Times New Roman" w:cs="Times New Roman"/>
          <w:sz w:val="26"/>
          <w:szCs w:val="26"/>
        </w:rPr>
        <w:t xml:space="preserve"> млн. рублей, или </w:t>
      </w:r>
      <w:r w:rsidR="00416618" w:rsidRPr="006B681B">
        <w:rPr>
          <w:rFonts w:ascii="Times New Roman" w:hAnsi="Times New Roman" w:cs="Times New Roman"/>
          <w:sz w:val="26"/>
          <w:szCs w:val="26"/>
        </w:rPr>
        <w:t>101,9</w:t>
      </w:r>
      <w:r w:rsidRPr="006B681B">
        <w:rPr>
          <w:rFonts w:ascii="Times New Roman" w:hAnsi="Times New Roman" w:cs="Times New Roman"/>
          <w:sz w:val="26"/>
          <w:szCs w:val="26"/>
        </w:rPr>
        <w:t>% в сопоставимых ценах к уровню 201</w:t>
      </w:r>
      <w:r w:rsidR="003D4CD8" w:rsidRPr="006B681B">
        <w:rPr>
          <w:rFonts w:ascii="Times New Roman" w:hAnsi="Times New Roman" w:cs="Times New Roman"/>
          <w:sz w:val="26"/>
          <w:szCs w:val="26"/>
        </w:rPr>
        <w:t>4</w:t>
      </w:r>
      <w:r w:rsidRPr="006B681B">
        <w:rPr>
          <w:rFonts w:ascii="Times New Roman" w:hAnsi="Times New Roman" w:cs="Times New Roman"/>
          <w:sz w:val="26"/>
          <w:szCs w:val="26"/>
        </w:rPr>
        <w:t xml:space="preserve"> года.</w:t>
      </w:r>
    </w:p>
    <w:p w:rsidR="00271B51" w:rsidRPr="006B681B" w:rsidRDefault="00271B51"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прогнозном периоде планируется увеличение объема инвестиционных вложений. К концу 2018 года ожидается, что инвестиции в основной капитал составят по первому варианту прогноза </w:t>
      </w:r>
      <w:r w:rsidR="00416618" w:rsidRPr="006B681B">
        <w:rPr>
          <w:rFonts w:ascii="Times New Roman" w:hAnsi="Times New Roman" w:cs="Times New Roman"/>
          <w:sz w:val="26"/>
          <w:szCs w:val="26"/>
        </w:rPr>
        <w:t>20 787,75</w:t>
      </w:r>
      <w:r w:rsidRPr="006B681B">
        <w:rPr>
          <w:rFonts w:ascii="Times New Roman" w:hAnsi="Times New Roman" w:cs="Times New Roman"/>
          <w:sz w:val="26"/>
          <w:szCs w:val="26"/>
        </w:rPr>
        <w:t xml:space="preserve"> млн. рублей, а по второму – </w:t>
      </w:r>
      <w:r w:rsidR="00416618" w:rsidRPr="006B681B">
        <w:rPr>
          <w:rFonts w:ascii="Times New Roman" w:hAnsi="Times New Roman" w:cs="Times New Roman"/>
          <w:sz w:val="26"/>
          <w:szCs w:val="26"/>
        </w:rPr>
        <w:t>22 423,31</w:t>
      </w:r>
      <w:r w:rsidRPr="006B681B">
        <w:rPr>
          <w:rFonts w:ascii="Times New Roman" w:hAnsi="Times New Roman" w:cs="Times New Roman"/>
          <w:sz w:val="26"/>
          <w:szCs w:val="26"/>
        </w:rPr>
        <w:t xml:space="preserve"> млн. рублей.</w:t>
      </w:r>
    </w:p>
    <w:p w:rsidR="007A6769" w:rsidRPr="006B681B" w:rsidRDefault="00825991"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Траектория изменения инвестици</w:t>
      </w:r>
      <w:r w:rsidR="007A6769" w:rsidRPr="006B681B">
        <w:rPr>
          <w:rFonts w:ascii="Times New Roman" w:hAnsi="Times New Roman" w:cs="Times New Roman"/>
          <w:sz w:val="26"/>
          <w:szCs w:val="26"/>
        </w:rPr>
        <w:t>й в основной капитал во многом обусловлена динамикой инв</w:t>
      </w:r>
      <w:r w:rsidR="003F265A" w:rsidRPr="006B681B">
        <w:rPr>
          <w:rFonts w:ascii="Times New Roman" w:hAnsi="Times New Roman" w:cs="Times New Roman"/>
          <w:sz w:val="26"/>
          <w:szCs w:val="26"/>
        </w:rPr>
        <w:t>естиций нефтегазового комплекса. В 201</w:t>
      </w:r>
      <w:r w:rsidR="003D4CD8" w:rsidRPr="006B681B">
        <w:rPr>
          <w:rFonts w:ascii="Times New Roman" w:hAnsi="Times New Roman" w:cs="Times New Roman"/>
          <w:sz w:val="26"/>
          <w:szCs w:val="26"/>
        </w:rPr>
        <w:t>4</w:t>
      </w:r>
      <w:r w:rsidR="003F265A" w:rsidRPr="006B681B">
        <w:rPr>
          <w:rFonts w:ascii="Times New Roman" w:hAnsi="Times New Roman" w:cs="Times New Roman"/>
          <w:sz w:val="26"/>
          <w:szCs w:val="26"/>
        </w:rPr>
        <w:t xml:space="preserve"> году </w:t>
      </w:r>
      <w:r w:rsidR="007A6769" w:rsidRPr="006B681B">
        <w:rPr>
          <w:rFonts w:ascii="Times New Roman" w:hAnsi="Times New Roman" w:cs="Times New Roman"/>
          <w:sz w:val="26"/>
          <w:szCs w:val="26"/>
        </w:rPr>
        <w:t>на долю предприятий, осуществляющих добычу полезных ископаемых и предоставляющих услуги в этих областях, приходи</w:t>
      </w:r>
      <w:r w:rsidR="003F265A" w:rsidRPr="006B681B">
        <w:rPr>
          <w:rFonts w:ascii="Times New Roman" w:hAnsi="Times New Roman" w:cs="Times New Roman"/>
          <w:sz w:val="26"/>
          <w:szCs w:val="26"/>
        </w:rPr>
        <w:t>лось</w:t>
      </w:r>
      <w:r w:rsidR="007A6769" w:rsidRPr="006B681B">
        <w:rPr>
          <w:rFonts w:ascii="Times New Roman" w:hAnsi="Times New Roman" w:cs="Times New Roman"/>
          <w:sz w:val="26"/>
          <w:szCs w:val="26"/>
        </w:rPr>
        <w:t xml:space="preserve"> </w:t>
      </w:r>
      <w:r w:rsidR="00416618" w:rsidRPr="006B681B">
        <w:rPr>
          <w:rFonts w:ascii="Times New Roman" w:hAnsi="Times New Roman" w:cs="Times New Roman"/>
          <w:sz w:val="26"/>
          <w:szCs w:val="26"/>
        </w:rPr>
        <w:t>60,7</w:t>
      </w:r>
      <w:r w:rsidR="007A6769" w:rsidRPr="006B681B">
        <w:rPr>
          <w:rFonts w:ascii="Times New Roman" w:hAnsi="Times New Roman" w:cs="Times New Roman"/>
          <w:sz w:val="26"/>
          <w:szCs w:val="26"/>
        </w:rPr>
        <w:t>% от общ</w:t>
      </w:r>
      <w:r w:rsidR="00DB016C" w:rsidRPr="006B681B">
        <w:rPr>
          <w:rFonts w:ascii="Times New Roman" w:hAnsi="Times New Roman" w:cs="Times New Roman"/>
          <w:sz w:val="26"/>
          <w:szCs w:val="26"/>
        </w:rPr>
        <w:t>его объема капитальных вложений</w:t>
      </w:r>
      <w:r w:rsidR="002E044E" w:rsidRPr="006B681B">
        <w:rPr>
          <w:rFonts w:ascii="Times New Roman" w:hAnsi="Times New Roman" w:cs="Times New Roman"/>
          <w:sz w:val="26"/>
          <w:szCs w:val="26"/>
        </w:rPr>
        <w:t>.</w:t>
      </w:r>
      <w:r w:rsidR="00DB016C" w:rsidRPr="006B681B">
        <w:rPr>
          <w:rFonts w:ascii="Times New Roman" w:hAnsi="Times New Roman" w:cs="Times New Roman"/>
          <w:sz w:val="26"/>
          <w:szCs w:val="26"/>
        </w:rPr>
        <w:t xml:space="preserve"> </w:t>
      </w:r>
      <w:r w:rsidR="002E044E" w:rsidRPr="006B681B">
        <w:rPr>
          <w:rFonts w:ascii="Times New Roman" w:hAnsi="Times New Roman" w:cs="Times New Roman"/>
          <w:sz w:val="26"/>
          <w:szCs w:val="26"/>
        </w:rPr>
        <w:t>Т</w:t>
      </w:r>
      <w:r w:rsidR="00DB016C" w:rsidRPr="006B681B">
        <w:rPr>
          <w:rFonts w:ascii="Times New Roman" w:hAnsi="Times New Roman" w:cs="Times New Roman"/>
          <w:sz w:val="26"/>
          <w:szCs w:val="26"/>
        </w:rPr>
        <w:t xml:space="preserve">акже наблюдается значительный рост вложений по данному виду деятельности по отношению к 2013 году (индекс физического объема составил </w:t>
      </w:r>
      <w:r w:rsidR="00416618" w:rsidRPr="006B681B">
        <w:rPr>
          <w:rFonts w:ascii="Times New Roman" w:hAnsi="Times New Roman" w:cs="Times New Roman"/>
          <w:sz w:val="26"/>
          <w:szCs w:val="26"/>
        </w:rPr>
        <w:t>122,05</w:t>
      </w:r>
      <w:r w:rsidR="00DB016C" w:rsidRPr="006B681B">
        <w:rPr>
          <w:rFonts w:ascii="Times New Roman" w:hAnsi="Times New Roman" w:cs="Times New Roman"/>
          <w:sz w:val="26"/>
          <w:szCs w:val="26"/>
        </w:rPr>
        <w:t xml:space="preserve">%), что можно объяснить </w:t>
      </w:r>
      <w:r w:rsidR="00EB181A" w:rsidRPr="006B681B">
        <w:rPr>
          <w:rFonts w:ascii="Times New Roman" w:hAnsi="Times New Roman" w:cs="Times New Roman"/>
          <w:sz w:val="26"/>
          <w:szCs w:val="26"/>
        </w:rPr>
        <w:t>вложением инвестиций в разработку</w:t>
      </w:r>
      <w:r w:rsidR="00DB016C" w:rsidRPr="006B681B">
        <w:rPr>
          <w:rFonts w:ascii="Times New Roman" w:hAnsi="Times New Roman" w:cs="Times New Roman"/>
          <w:sz w:val="26"/>
          <w:szCs w:val="26"/>
        </w:rPr>
        <w:t xml:space="preserve"> Имилорского месторождения.</w:t>
      </w:r>
      <w:r w:rsidR="007A6769" w:rsidRPr="006B681B">
        <w:rPr>
          <w:rFonts w:ascii="Times New Roman" w:hAnsi="Times New Roman" w:cs="Times New Roman"/>
          <w:sz w:val="26"/>
          <w:szCs w:val="26"/>
        </w:rPr>
        <w:t xml:space="preserve"> </w:t>
      </w:r>
      <w:r w:rsidR="00DB016C" w:rsidRPr="006B681B">
        <w:rPr>
          <w:rFonts w:ascii="Times New Roman" w:hAnsi="Times New Roman" w:cs="Times New Roman"/>
          <w:sz w:val="26"/>
          <w:szCs w:val="26"/>
        </w:rPr>
        <w:t>Н</w:t>
      </w:r>
      <w:r w:rsidR="007A6769" w:rsidRPr="006B681B">
        <w:rPr>
          <w:rFonts w:ascii="Times New Roman" w:hAnsi="Times New Roman" w:cs="Times New Roman"/>
          <w:sz w:val="26"/>
          <w:szCs w:val="26"/>
        </w:rPr>
        <w:t xml:space="preserve">а втором месте </w:t>
      </w:r>
      <w:r w:rsidRPr="006B681B">
        <w:rPr>
          <w:rFonts w:ascii="Times New Roman" w:hAnsi="Times New Roman" w:cs="Times New Roman"/>
          <w:sz w:val="26"/>
          <w:szCs w:val="26"/>
        </w:rPr>
        <w:t xml:space="preserve">– финансовая деятельность – </w:t>
      </w:r>
      <w:r w:rsidR="003D4CD8" w:rsidRPr="006B681B">
        <w:rPr>
          <w:rFonts w:ascii="Times New Roman" w:hAnsi="Times New Roman" w:cs="Times New Roman"/>
          <w:sz w:val="26"/>
          <w:szCs w:val="26"/>
        </w:rPr>
        <w:t>22,</w:t>
      </w:r>
      <w:r w:rsidR="00416618" w:rsidRPr="006B681B">
        <w:rPr>
          <w:rFonts w:ascii="Times New Roman" w:hAnsi="Times New Roman" w:cs="Times New Roman"/>
          <w:sz w:val="26"/>
          <w:szCs w:val="26"/>
        </w:rPr>
        <w:t>5</w:t>
      </w:r>
      <w:r w:rsidR="007A6769" w:rsidRPr="006B681B">
        <w:rPr>
          <w:rFonts w:ascii="Times New Roman" w:hAnsi="Times New Roman" w:cs="Times New Roman"/>
          <w:sz w:val="26"/>
          <w:szCs w:val="26"/>
        </w:rPr>
        <w:t>%, на третьем – операции с недвижимым имуществом, аре</w:t>
      </w:r>
      <w:r w:rsidRPr="006B681B">
        <w:rPr>
          <w:rFonts w:ascii="Times New Roman" w:hAnsi="Times New Roman" w:cs="Times New Roman"/>
          <w:sz w:val="26"/>
          <w:szCs w:val="26"/>
        </w:rPr>
        <w:t xml:space="preserve">нда и предоставление услуг – </w:t>
      </w:r>
      <w:r w:rsidR="00416618" w:rsidRPr="006B681B">
        <w:rPr>
          <w:rFonts w:ascii="Times New Roman" w:hAnsi="Times New Roman" w:cs="Times New Roman"/>
          <w:sz w:val="26"/>
          <w:szCs w:val="26"/>
        </w:rPr>
        <w:t>5,8</w:t>
      </w:r>
      <w:r w:rsidR="007A6769" w:rsidRPr="006B681B">
        <w:rPr>
          <w:rFonts w:ascii="Times New Roman" w:hAnsi="Times New Roman" w:cs="Times New Roman"/>
          <w:sz w:val="26"/>
          <w:szCs w:val="26"/>
        </w:rPr>
        <w:t>%.</w:t>
      </w:r>
    </w:p>
    <w:p w:rsidR="007A6769" w:rsidRPr="006B681B" w:rsidRDefault="007A6769"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201</w:t>
      </w:r>
      <w:r w:rsidR="002E044E" w:rsidRPr="006B681B">
        <w:rPr>
          <w:rFonts w:ascii="Times New Roman" w:hAnsi="Times New Roman" w:cs="Times New Roman"/>
          <w:sz w:val="26"/>
          <w:szCs w:val="26"/>
        </w:rPr>
        <w:t>6</w:t>
      </w:r>
      <w:r w:rsidRPr="006B681B">
        <w:rPr>
          <w:rFonts w:ascii="Times New Roman" w:hAnsi="Times New Roman" w:cs="Times New Roman"/>
          <w:sz w:val="26"/>
          <w:szCs w:val="26"/>
        </w:rPr>
        <w:t xml:space="preserve"> году прогнозируемый объём инвестиций в основной капитал по первому варианту составит </w:t>
      </w:r>
      <w:r w:rsidR="00416618" w:rsidRPr="006B681B">
        <w:rPr>
          <w:rFonts w:ascii="Times New Roman" w:hAnsi="Times New Roman" w:cs="Times New Roman"/>
          <w:sz w:val="26"/>
          <w:szCs w:val="26"/>
        </w:rPr>
        <w:t>19 500,02</w:t>
      </w:r>
      <w:r w:rsidRPr="006B681B">
        <w:rPr>
          <w:rFonts w:ascii="Times New Roman" w:hAnsi="Times New Roman" w:cs="Times New Roman"/>
          <w:sz w:val="26"/>
          <w:szCs w:val="26"/>
        </w:rPr>
        <w:t xml:space="preserve"> млн. рублей, или </w:t>
      </w:r>
      <w:r w:rsidR="00416618" w:rsidRPr="006B681B">
        <w:rPr>
          <w:rFonts w:ascii="Times New Roman" w:hAnsi="Times New Roman" w:cs="Times New Roman"/>
          <w:sz w:val="26"/>
          <w:szCs w:val="26"/>
        </w:rPr>
        <w:t>99,4</w:t>
      </w:r>
      <w:r w:rsidRPr="006B681B">
        <w:rPr>
          <w:rFonts w:ascii="Times New Roman" w:hAnsi="Times New Roman" w:cs="Times New Roman"/>
          <w:sz w:val="26"/>
          <w:szCs w:val="26"/>
        </w:rPr>
        <w:t>% в сопоставимых ценах к уровню 201</w:t>
      </w:r>
      <w:r w:rsidR="002E044E" w:rsidRPr="006B681B">
        <w:rPr>
          <w:rFonts w:ascii="Times New Roman" w:hAnsi="Times New Roman" w:cs="Times New Roman"/>
          <w:sz w:val="26"/>
          <w:szCs w:val="26"/>
        </w:rPr>
        <w:t>5</w:t>
      </w:r>
      <w:r w:rsidRPr="006B681B">
        <w:rPr>
          <w:rFonts w:ascii="Times New Roman" w:hAnsi="Times New Roman" w:cs="Times New Roman"/>
          <w:sz w:val="26"/>
          <w:szCs w:val="26"/>
        </w:rPr>
        <w:t xml:space="preserve"> года, и </w:t>
      </w:r>
      <w:r w:rsidR="00045BF1" w:rsidRPr="006B681B">
        <w:rPr>
          <w:rFonts w:ascii="Times New Roman" w:hAnsi="Times New Roman" w:cs="Times New Roman"/>
          <w:sz w:val="26"/>
          <w:szCs w:val="26"/>
        </w:rPr>
        <w:t>19 930,45</w:t>
      </w:r>
      <w:r w:rsidRPr="006B681B">
        <w:rPr>
          <w:rFonts w:ascii="Times New Roman" w:hAnsi="Times New Roman" w:cs="Times New Roman"/>
          <w:sz w:val="26"/>
          <w:szCs w:val="26"/>
        </w:rPr>
        <w:t xml:space="preserve"> млн. рублей (</w:t>
      </w:r>
      <w:r w:rsidR="00045BF1" w:rsidRPr="006B681B">
        <w:rPr>
          <w:rFonts w:ascii="Times New Roman" w:hAnsi="Times New Roman" w:cs="Times New Roman"/>
          <w:sz w:val="26"/>
          <w:szCs w:val="26"/>
        </w:rPr>
        <w:t>100,6</w:t>
      </w:r>
      <w:r w:rsidRPr="006B681B">
        <w:rPr>
          <w:rFonts w:ascii="Times New Roman" w:hAnsi="Times New Roman" w:cs="Times New Roman"/>
          <w:sz w:val="26"/>
          <w:szCs w:val="26"/>
        </w:rPr>
        <w:t>%) – по второму варианту</w:t>
      </w:r>
      <w:r w:rsidR="003F265A" w:rsidRPr="006B681B">
        <w:rPr>
          <w:rFonts w:ascii="Times New Roman" w:hAnsi="Times New Roman" w:cs="Times New Roman"/>
          <w:sz w:val="26"/>
          <w:szCs w:val="26"/>
        </w:rPr>
        <w:t xml:space="preserve">, в дальнейшем темп роста </w:t>
      </w:r>
      <w:r w:rsidRPr="006B681B">
        <w:rPr>
          <w:rFonts w:ascii="Times New Roman" w:hAnsi="Times New Roman" w:cs="Times New Roman"/>
          <w:sz w:val="26"/>
          <w:szCs w:val="26"/>
        </w:rPr>
        <w:t xml:space="preserve">инвестиций </w:t>
      </w:r>
      <w:r w:rsidR="003F265A" w:rsidRPr="006B681B">
        <w:rPr>
          <w:rFonts w:ascii="Times New Roman" w:hAnsi="Times New Roman" w:cs="Times New Roman"/>
          <w:sz w:val="26"/>
          <w:szCs w:val="26"/>
        </w:rPr>
        <w:t xml:space="preserve">сохранится на </w:t>
      </w:r>
      <w:r w:rsidR="002E044E" w:rsidRPr="006B681B">
        <w:rPr>
          <w:rFonts w:ascii="Times New Roman" w:hAnsi="Times New Roman" w:cs="Times New Roman"/>
          <w:sz w:val="26"/>
          <w:szCs w:val="26"/>
        </w:rPr>
        <w:t xml:space="preserve">уровне </w:t>
      </w:r>
      <w:r w:rsidR="00045BF1" w:rsidRPr="006B681B">
        <w:rPr>
          <w:rFonts w:ascii="Times New Roman" w:hAnsi="Times New Roman" w:cs="Times New Roman"/>
          <w:sz w:val="26"/>
          <w:szCs w:val="26"/>
        </w:rPr>
        <w:t>100,4-101,7</w:t>
      </w:r>
      <w:r w:rsidR="002E044E" w:rsidRPr="006B681B">
        <w:rPr>
          <w:rFonts w:ascii="Times New Roman" w:hAnsi="Times New Roman" w:cs="Times New Roman"/>
          <w:sz w:val="26"/>
          <w:szCs w:val="26"/>
        </w:rPr>
        <w:t>%.</w:t>
      </w:r>
    </w:p>
    <w:p w:rsidR="000676D4" w:rsidRPr="006B681B" w:rsidRDefault="000676D4" w:rsidP="0022054C">
      <w:pPr>
        <w:spacing w:after="0" w:line="240" w:lineRule="auto"/>
        <w:ind w:firstLine="709"/>
        <w:jc w:val="both"/>
        <w:rPr>
          <w:rFonts w:ascii="Times New Roman" w:hAnsi="Times New Roman" w:cs="Times New Roman"/>
          <w:sz w:val="26"/>
          <w:szCs w:val="26"/>
        </w:rPr>
      </w:pPr>
    </w:p>
    <w:p w:rsidR="00F05A30" w:rsidRPr="006B681B" w:rsidRDefault="00F05A30" w:rsidP="0022054C">
      <w:pPr>
        <w:spacing w:after="0" w:line="240" w:lineRule="auto"/>
        <w:jc w:val="both"/>
        <w:rPr>
          <w:rFonts w:ascii="Times New Roman" w:hAnsi="Times New Roman" w:cs="Times New Roman"/>
          <w:sz w:val="26"/>
          <w:szCs w:val="26"/>
        </w:rPr>
      </w:pPr>
      <w:r w:rsidRPr="006B681B">
        <w:rPr>
          <w:rFonts w:ascii="Times New Roman" w:hAnsi="Times New Roman" w:cs="Times New Roman"/>
          <w:noProof/>
          <w:sz w:val="26"/>
          <w:szCs w:val="26"/>
          <w:lang w:eastAsia="ru-RU"/>
        </w:rPr>
        <w:drawing>
          <wp:inline distT="0" distB="0" distL="0" distR="0" wp14:anchorId="5530163E" wp14:editId="30D23206">
            <wp:extent cx="6461125" cy="4028536"/>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4F9E" w:rsidRPr="006B681B" w:rsidRDefault="00144F9E" w:rsidP="0022054C">
      <w:pPr>
        <w:spacing w:after="0" w:line="240" w:lineRule="auto"/>
        <w:ind w:firstLine="709"/>
        <w:jc w:val="both"/>
        <w:rPr>
          <w:rFonts w:ascii="Times New Roman" w:hAnsi="Times New Roman" w:cs="Times New Roman"/>
          <w:sz w:val="26"/>
          <w:szCs w:val="26"/>
        </w:rPr>
      </w:pPr>
    </w:p>
    <w:p w:rsidR="00F05A30" w:rsidRPr="006B681B" w:rsidRDefault="00F05A3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201</w:t>
      </w:r>
      <w:r w:rsidR="00887922" w:rsidRPr="006B681B">
        <w:rPr>
          <w:rFonts w:ascii="Times New Roman" w:hAnsi="Times New Roman" w:cs="Times New Roman"/>
          <w:sz w:val="26"/>
          <w:szCs w:val="26"/>
        </w:rPr>
        <w:t>5</w:t>
      </w:r>
      <w:r w:rsidRPr="006B681B">
        <w:rPr>
          <w:rFonts w:ascii="Times New Roman" w:hAnsi="Times New Roman" w:cs="Times New Roman"/>
          <w:sz w:val="26"/>
          <w:szCs w:val="26"/>
        </w:rPr>
        <w:t xml:space="preserve"> году объем инвестиций в сферу добычи топливно-энергетических полезных ископаемых </w:t>
      </w:r>
      <w:r w:rsidR="00FB3116" w:rsidRPr="006B681B">
        <w:rPr>
          <w:rFonts w:ascii="Times New Roman" w:hAnsi="Times New Roman" w:cs="Times New Roman"/>
          <w:sz w:val="26"/>
          <w:szCs w:val="26"/>
        </w:rPr>
        <w:t>состави</w:t>
      </w:r>
      <w:r w:rsidRPr="006B681B">
        <w:rPr>
          <w:rFonts w:ascii="Times New Roman" w:hAnsi="Times New Roman" w:cs="Times New Roman"/>
          <w:sz w:val="26"/>
          <w:szCs w:val="26"/>
        </w:rPr>
        <w:t xml:space="preserve">т </w:t>
      </w:r>
      <w:r w:rsidR="00887922" w:rsidRPr="006B681B">
        <w:rPr>
          <w:rFonts w:ascii="Times New Roman" w:hAnsi="Times New Roman" w:cs="Times New Roman"/>
          <w:sz w:val="26"/>
          <w:szCs w:val="26"/>
        </w:rPr>
        <w:t>10</w:t>
      </w:r>
      <w:r w:rsidR="004036D8" w:rsidRPr="006B681B">
        <w:rPr>
          <w:rFonts w:ascii="Times New Roman" w:hAnsi="Times New Roman" w:cs="Times New Roman"/>
          <w:sz w:val="26"/>
          <w:szCs w:val="26"/>
        </w:rPr>
        <w:t> 949,5</w:t>
      </w:r>
      <w:r w:rsidR="00FB3116" w:rsidRPr="006B681B">
        <w:rPr>
          <w:rFonts w:ascii="Times New Roman" w:hAnsi="Times New Roman" w:cs="Times New Roman"/>
          <w:sz w:val="26"/>
          <w:szCs w:val="26"/>
        </w:rPr>
        <w:t xml:space="preserve"> млн. рублей, или </w:t>
      </w:r>
      <w:r w:rsidR="004036D8" w:rsidRPr="006B681B">
        <w:rPr>
          <w:rFonts w:ascii="Times New Roman" w:hAnsi="Times New Roman" w:cs="Times New Roman"/>
          <w:sz w:val="26"/>
          <w:szCs w:val="26"/>
        </w:rPr>
        <w:t>102,26</w:t>
      </w:r>
      <w:r w:rsidR="00FB3116" w:rsidRPr="006B681B">
        <w:rPr>
          <w:rFonts w:ascii="Times New Roman" w:hAnsi="Times New Roman" w:cs="Times New Roman"/>
          <w:sz w:val="26"/>
          <w:szCs w:val="26"/>
        </w:rPr>
        <w:t>% в сопоставимых ценах к уровню 201</w:t>
      </w:r>
      <w:r w:rsidR="00887922" w:rsidRPr="006B681B">
        <w:rPr>
          <w:rFonts w:ascii="Times New Roman" w:hAnsi="Times New Roman" w:cs="Times New Roman"/>
          <w:sz w:val="26"/>
          <w:szCs w:val="26"/>
        </w:rPr>
        <w:t>4</w:t>
      </w:r>
      <w:r w:rsidR="00FB3116" w:rsidRPr="006B681B">
        <w:rPr>
          <w:rFonts w:ascii="Times New Roman" w:hAnsi="Times New Roman" w:cs="Times New Roman"/>
          <w:sz w:val="26"/>
          <w:szCs w:val="26"/>
        </w:rPr>
        <w:t xml:space="preserve"> года.</w:t>
      </w:r>
    </w:p>
    <w:p w:rsidR="00F05A30" w:rsidRPr="006B681B" w:rsidRDefault="00F05A3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w:t>
      </w:r>
      <w:r w:rsidR="008B7F2E" w:rsidRPr="006B681B">
        <w:rPr>
          <w:rFonts w:ascii="Times New Roman" w:hAnsi="Times New Roman" w:cs="Times New Roman"/>
          <w:sz w:val="26"/>
          <w:szCs w:val="26"/>
        </w:rPr>
        <w:t>прогнозном периоде</w:t>
      </w:r>
      <w:r w:rsidRPr="006B681B">
        <w:rPr>
          <w:rFonts w:ascii="Times New Roman" w:hAnsi="Times New Roman" w:cs="Times New Roman"/>
          <w:sz w:val="26"/>
          <w:szCs w:val="26"/>
        </w:rPr>
        <w:t xml:space="preserve"> темпы роста инвестиций </w:t>
      </w:r>
      <w:r w:rsidR="008B7F2E" w:rsidRPr="006B681B">
        <w:rPr>
          <w:rFonts w:ascii="Times New Roman" w:hAnsi="Times New Roman" w:cs="Times New Roman"/>
          <w:sz w:val="26"/>
          <w:szCs w:val="26"/>
        </w:rPr>
        <w:t>по второму варианту составят: в 201</w:t>
      </w:r>
      <w:r w:rsidR="00C94BC2" w:rsidRPr="006B681B">
        <w:rPr>
          <w:rFonts w:ascii="Times New Roman" w:hAnsi="Times New Roman" w:cs="Times New Roman"/>
          <w:sz w:val="26"/>
          <w:szCs w:val="26"/>
        </w:rPr>
        <w:t>6</w:t>
      </w:r>
      <w:r w:rsidR="008B7F2E" w:rsidRPr="006B681B">
        <w:rPr>
          <w:rFonts w:ascii="Times New Roman" w:hAnsi="Times New Roman" w:cs="Times New Roman"/>
          <w:sz w:val="26"/>
          <w:szCs w:val="26"/>
        </w:rPr>
        <w:t xml:space="preserve"> году – </w:t>
      </w:r>
      <w:r w:rsidR="004036D8" w:rsidRPr="006B681B">
        <w:rPr>
          <w:rFonts w:ascii="Times New Roman" w:hAnsi="Times New Roman" w:cs="Times New Roman"/>
          <w:sz w:val="26"/>
          <w:szCs w:val="26"/>
        </w:rPr>
        <w:t>100,4</w:t>
      </w:r>
      <w:r w:rsidR="008B7F2E" w:rsidRPr="006B681B">
        <w:rPr>
          <w:rFonts w:ascii="Times New Roman" w:hAnsi="Times New Roman" w:cs="Times New Roman"/>
          <w:sz w:val="26"/>
          <w:szCs w:val="26"/>
        </w:rPr>
        <w:t>%, в 201</w:t>
      </w:r>
      <w:r w:rsidR="00C94BC2" w:rsidRPr="006B681B">
        <w:rPr>
          <w:rFonts w:ascii="Times New Roman" w:hAnsi="Times New Roman" w:cs="Times New Roman"/>
          <w:sz w:val="26"/>
          <w:szCs w:val="26"/>
        </w:rPr>
        <w:t>7</w:t>
      </w:r>
      <w:r w:rsidR="008B7F2E" w:rsidRPr="006B681B">
        <w:rPr>
          <w:rFonts w:ascii="Times New Roman" w:hAnsi="Times New Roman" w:cs="Times New Roman"/>
          <w:sz w:val="26"/>
          <w:szCs w:val="26"/>
        </w:rPr>
        <w:t xml:space="preserve"> году – 101,</w:t>
      </w:r>
      <w:r w:rsidR="00C94BC2" w:rsidRPr="006B681B">
        <w:rPr>
          <w:rFonts w:ascii="Times New Roman" w:hAnsi="Times New Roman" w:cs="Times New Roman"/>
          <w:sz w:val="26"/>
          <w:szCs w:val="26"/>
        </w:rPr>
        <w:t>0</w:t>
      </w:r>
      <w:r w:rsidR="008B7F2E" w:rsidRPr="006B681B">
        <w:rPr>
          <w:rFonts w:ascii="Times New Roman" w:hAnsi="Times New Roman" w:cs="Times New Roman"/>
          <w:sz w:val="26"/>
          <w:szCs w:val="26"/>
        </w:rPr>
        <w:t>%, в 201</w:t>
      </w:r>
      <w:r w:rsidR="00C94BC2" w:rsidRPr="006B681B">
        <w:rPr>
          <w:rFonts w:ascii="Times New Roman" w:hAnsi="Times New Roman" w:cs="Times New Roman"/>
          <w:sz w:val="26"/>
          <w:szCs w:val="26"/>
        </w:rPr>
        <w:t>8</w:t>
      </w:r>
      <w:r w:rsidR="008B7F2E" w:rsidRPr="006B681B">
        <w:rPr>
          <w:rFonts w:ascii="Times New Roman" w:hAnsi="Times New Roman" w:cs="Times New Roman"/>
          <w:sz w:val="26"/>
          <w:szCs w:val="26"/>
        </w:rPr>
        <w:t xml:space="preserve"> году – 101,</w:t>
      </w:r>
      <w:r w:rsidR="004036D8" w:rsidRPr="006B681B">
        <w:rPr>
          <w:rFonts w:ascii="Times New Roman" w:hAnsi="Times New Roman" w:cs="Times New Roman"/>
          <w:sz w:val="26"/>
          <w:szCs w:val="26"/>
        </w:rPr>
        <w:t>2</w:t>
      </w:r>
      <w:r w:rsidR="008B7F2E" w:rsidRPr="006B681B">
        <w:rPr>
          <w:rFonts w:ascii="Times New Roman" w:hAnsi="Times New Roman" w:cs="Times New Roman"/>
          <w:sz w:val="26"/>
          <w:szCs w:val="26"/>
        </w:rPr>
        <w:t>%.</w:t>
      </w:r>
      <w:r w:rsidRPr="006B681B">
        <w:rPr>
          <w:rFonts w:ascii="Times New Roman" w:hAnsi="Times New Roman" w:cs="Times New Roman"/>
          <w:sz w:val="26"/>
          <w:szCs w:val="26"/>
        </w:rPr>
        <w:t xml:space="preserve"> </w:t>
      </w:r>
    </w:p>
    <w:p w:rsidR="00B559FD" w:rsidRPr="006B681B" w:rsidRDefault="00B559FD"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Капитальные вложения в сфере добычи полезных ископаемых будут направлены на предоставление услуг по бурению эксплуатационных и разведочных скважин, реконструкцию действующих объектов и прочих услуг, связанных с добычей нефти и газа, а также на приобретение оборудования. </w:t>
      </w:r>
    </w:p>
    <w:p w:rsidR="00F05A30" w:rsidRPr="006B681B" w:rsidRDefault="00F05A3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201</w:t>
      </w:r>
      <w:r w:rsidR="006514A9" w:rsidRPr="006B681B">
        <w:rPr>
          <w:rFonts w:ascii="Times New Roman" w:hAnsi="Times New Roman" w:cs="Times New Roman"/>
          <w:sz w:val="26"/>
          <w:szCs w:val="26"/>
        </w:rPr>
        <w:t>5</w:t>
      </w:r>
      <w:r w:rsidRPr="006B681B">
        <w:rPr>
          <w:rFonts w:ascii="Times New Roman" w:hAnsi="Times New Roman" w:cs="Times New Roman"/>
          <w:sz w:val="26"/>
          <w:szCs w:val="26"/>
        </w:rPr>
        <w:t xml:space="preserve"> году капитальные вложения в обрабатывающие производства составят </w:t>
      </w:r>
      <w:r w:rsidR="004036D8" w:rsidRPr="006B681B">
        <w:rPr>
          <w:rFonts w:ascii="Times New Roman" w:hAnsi="Times New Roman" w:cs="Times New Roman"/>
          <w:sz w:val="26"/>
          <w:szCs w:val="26"/>
        </w:rPr>
        <w:t>257,3</w:t>
      </w:r>
      <w:r w:rsidR="00B559FD" w:rsidRPr="006B681B">
        <w:rPr>
          <w:rFonts w:ascii="Times New Roman" w:hAnsi="Times New Roman" w:cs="Times New Roman"/>
          <w:sz w:val="26"/>
          <w:szCs w:val="26"/>
        </w:rPr>
        <w:t xml:space="preserve"> млн. рублей или </w:t>
      </w:r>
      <w:r w:rsidR="004036D8" w:rsidRPr="006B681B">
        <w:rPr>
          <w:rFonts w:ascii="Times New Roman" w:hAnsi="Times New Roman" w:cs="Times New Roman"/>
          <w:sz w:val="26"/>
          <w:szCs w:val="26"/>
        </w:rPr>
        <w:t>110,53</w:t>
      </w:r>
      <w:r w:rsidRPr="006B681B">
        <w:rPr>
          <w:rFonts w:ascii="Times New Roman" w:hAnsi="Times New Roman" w:cs="Times New Roman"/>
          <w:sz w:val="26"/>
          <w:szCs w:val="26"/>
        </w:rPr>
        <w:t xml:space="preserve">% к </w:t>
      </w:r>
      <w:r w:rsidR="00B559FD" w:rsidRPr="006B681B">
        <w:rPr>
          <w:rFonts w:ascii="Times New Roman" w:hAnsi="Times New Roman" w:cs="Times New Roman"/>
          <w:sz w:val="26"/>
          <w:szCs w:val="26"/>
        </w:rPr>
        <w:t>предыдущему году</w:t>
      </w:r>
      <w:r w:rsidRPr="006B681B">
        <w:rPr>
          <w:rFonts w:ascii="Times New Roman" w:hAnsi="Times New Roman" w:cs="Times New Roman"/>
          <w:sz w:val="26"/>
          <w:szCs w:val="26"/>
        </w:rPr>
        <w:t>.</w:t>
      </w:r>
      <w:r w:rsidR="00B559FD" w:rsidRPr="006B681B">
        <w:rPr>
          <w:rFonts w:ascii="Times New Roman" w:hAnsi="Times New Roman" w:cs="Times New Roman"/>
          <w:sz w:val="26"/>
          <w:szCs w:val="26"/>
        </w:rPr>
        <w:t xml:space="preserve"> </w:t>
      </w:r>
      <w:r w:rsidRPr="006B681B">
        <w:rPr>
          <w:rFonts w:ascii="Times New Roman" w:hAnsi="Times New Roman" w:cs="Times New Roman"/>
          <w:sz w:val="26"/>
          <w:szCs w:val="26"/>
        </w:rPr>
        <w:t xml:space="preserve">В </w:t>
      </w:r>
      <w:r w:rsidR="00B559FD" w:rsidRPr="006B681B">
        <w:rPr>
          <w:rFonts w:ascii="Times New Roman" w:hAnsi="Times New Roman" w:cs="Times New Roman"/>
          <w:sz w:val="26"/>
          <w:szCs w:val="26"/>
        </w:rPr>
        <w:t xml:space="preserve">среднесрочной перспективе темп роста в среднем составит свыше </w:t>
      </w:r>
      <w:r w:rsidR="004036D8" w:rsidRPr="006B681B">
        <w:rPr>
          <w:rFonts w:ascii="Times New Roman" w:hAnsi="Times New Roman" w:cs="Times New Roman"/>
          <w:sz w:val="26"/>
          <w:szCs w:val="26"/>
        </w:rPr>
        <w:t>98,4</w:t>
      </w:r>
      <w:r w:rsidR="00B559FD" w:rsidRPr="006B681B">
        <w:rPr>
          <w:rFonts w:ascii="Times New Roman" w:hAnsi="Times New Roman" w:cs="Times New Roman"/>
          <w:sz w:val="26"/>
          <w:szCs w:val="26"/>
        </w:rPr>
        <w:t xml:space="preserve">%, основное направление капитальных вложений - </w:t>
      </w:r>
      <w:r w:rsidRPr="006B681B">
        <w:rPr>
          <w:rFonts w:ascii="Times New Roman" w:hAnsi="Times New Roman" w:cs="Times New Roman"/>
          <w:sz w:val="26"/>
          <w:szCs w:val="26"/>
        </w:rPr>
        <w:t>обновление существующих про</w:t>
      </w:r>
      <w:r w:rsidR="003F265A" w:rsidRPr="006B681B">
        <w:rPr>
          <w:rFonts w:ascii="Times New Roman" w:hAnsi="Times New Roman" w:cs="Times New Roman"/>
          <w:sz w:val="26"/>
          <w:szCs w:val="26"/>
        </w:rPr>
        <w:t>изводственных мощностей и замена</w:t>
      </w:r>
      <w:r w:rsidRPr="006B681B">
        <w:rPr>
          <w:rFonts w:ascii="Times New Roman" w:hAnsi="Times New Roman" w:cs="Times New Roman"/>
          <w:sz w:val="26"/>
          <w:szCs w:val="26"/>
        </w:rPr>
        <w:t xml:space="preserve"> изношенных основных фондов.</w:t>
      </w:r>
    </w:p>
    <w:p w:rsidR="000D1F35" w:rsidRPr="006B681B" w:rsidRDefault="000D1F35" w:rsidP="0022054C">
      <w:pPr>
        <w:tabs>
          <w:tab w:val="num" w:pos="338"/>
        </w:tabs>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С целью повышения качества условий проживания и коммунального обслуживания в части теплоснабжения, водоснабжения и водоотведения населения и организаций в городе Когалыме </w:t>
      </w:r>
      <w:r w:rsidR="00AC208B" w:rsidRPr="006B681B">
        <w:rPr>
          <w:rFonts w:ascii="Times New Roman" w:hAnsi="Times New Roman" w:cs="Times New Roman"/>
          <w:sz w:val="26"/>
          <w:szCs w:val="26"/>
        </w:rPr>
        <w:t xml:space="preserve">продолжают </w:t>
      </w:r>
      <w:r w:rsidRPr="006B681B">
        <w:rPr>
          <w:rFonts w:ascii="Times New Roman" w:hAnsi="Times New Roman" w:cs="Times New Roman"/>
          <w:sz w:val="26"/>
          <w:szCs w:val="26"/>
        </w:rPr>
        <w:t>реализ</w:t>
      </w:r>
      <w:r w:rsidR="00AC208B" w:rsidRPr="006B681B">
        <w:rPr>
          <w:rFonts w:ascii="Times New Roman" w:hAnsi="Times New Roman" w:cs="Times New Roman"/>
          <w:sz w:val="26"/>
          <w:szCs w:val="26"/>
        </w:rPr>
        <w:t>овываться</w:t>
      </w:r>
      <w:r w:rsidRPr="006B681B">
        <w:rPr>
          <w:rFonts w:ascii="Times New Roman" w:hAnsi="Times New Roman" w:cs="Times New Roman"/>
          <w:sz w:val="26"/>
          <w:szCs w:val="26"/>
        </w:rPr>
        <w:t xml:space="preserve"> две инвестиционные программы по реконструкции, модернизации и развитию систем теплоснабжения, водоснабжения и водоотведения города Когалыма:</w:t>
      </w:r>
    </w:p>
    <w:p w:rsidR="000D1F35" w:rsidRPr="006B681B" w:rsidRDefault="000D1F35"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инвестиционная программа ООО «Городские Теплосети» по реконструкции, модернизации и развитию системы теплоснабжения города Когалыма на 2010-2020 годы;</w:t>
      </w:r>
    </w:p>
    <w:p w:rsidR="000D1F35" w:rsidRPr="006B681B" w:rsidRDefault="000D1F35"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инвестиционная программа ООО «Горводоканал» по реконструкции, модернизации и развитию систем водоснабжения и водоотведения города Когалыма на 2010-2020 годы.</w:t>
      </w:r>
    </w:p>
    <w:p w:rsidR="000D1F35" w:rsidRPr="006B681B" w:rsidRDefault="000D1F35"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Источники финансирования мероприятий программ:</w:t>
      </w:r>
    </w:p>
    <w:p w:rsidR="00AC208B" w:rsidRPr="006B681B" w:rsidRDefault="00AC208B"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средства бюджета Ханты-Мансийского автономного округа – Югры;</w:t>
      </w:r>
    </w:p>
    <w:p w:rsidR="000D1F35" w:rsidRPr="006B681B" w:rsidRDefault="000D1F35"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кредитные средства;</w:t>
      </w:r>
    </w:p>
    <w:p w:rsidR="000D1F35" w:rsidRPr="006B681B" w:rsidRDefault="000D1F35"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с</w:t>
      </w:r>
      <w:r w:rsidR="00AC208B" w:rsidRPr="006B681B">
        <w:rPr>
          <w:rFonts w:ascii="Times New Roman" w:hAnsi="Times New Roman" w:cs="Times New Roman"/>
          <w:sz w:val="26"/>
          <w:szCs w:val="26"/>
        </w:rPr>
        <w:t>обственные средства предприятий.</w:t>
      </w:r>
    </w:p>
    <w:p w:rsidR="000D1F35" w:rsidRPr="006B681B" w:rsidRDefault="000D1F35"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Также с целью устойчивого функционирования и развития электроэнергетики города Когалыма </w:t>
      </w:r>
      <w:r w:rsidR="00AC208B" w:rsidRPr="006B681B">
        <w:rPr>
          <w:rFonts w:ascii="Times New Roman" w:hAnsi="Times New Roman" w:cs="Times New Roman"/>
          <w:sz w:val="26"/>
          <w:szCs w:val="26"/>
        </w:rPr>
        <w:t>открытое акционерное общество</w:t>
      </w:r>
      <w:r w:rsidRPr="006B681B">
        <w:rPr>
          <w:rFonts w:ascii="Times New Roman" w:hAnsi="Times New Roman" w:cs="Times New Roman"/>
          <w:sz w:val="26"/>
          <w:szCs w:val="26"/>
        </w:rPr>
        <w:t xml:space="preserve"> «ЮТЭК-Когалым» участвует в реализации инвестиционной программы </w:t>
      </w:r>
      <w:r w:rsidR="00AC208B" w:rsidRPr="006B681B">
        <w:rPr>
          <w:rFonts w:ascii="Times New Roman" w:hAnsi="Times New Roman" w:cs="Times New Roman"/>
          <w:sz w:val="26"/>
          <w:szCs w:val="26"/>
        </w:rPr>
        <w:t>открытого акционерного общества</w:t>
      </w:r>
      <w:r w:rsidRPr="006B681B">
        <w:rPr>
          <w:rFonts w:ascii="Times New Roman" w:hAnsi="Times New Roman" w:cs="Times New Roman"/>
          <w:sz w:val="26"/>
          <w:szCs w:val="26"/>
        </w:rPr>
        <w:t xml:space="preserve"> «ЮРЭСК по городу Когалыму», в рамках концессионного соглашения, в отношении имущественного комплекса «Система электроснабжения города Когалыма».</w:t>
      </w:r>
    </w:p>
    <w:p w:rsidR="000D1F35" w:rsidRPr="006B681B" w:rsidRDefault="000D1F35" w:rsidP="0022054C">
      <w:pPr>
        <w:shd w:val="clear" w:color="auto" w:fill="FFFFFF"/>
        <w:spacing w:after="0" w:line="240" w:lineRule="auto"/>
        <w:ind w:firstLine="708"/>
        <w:jc w:val="both"/>
        <w:rPr>
          <w:rFonts w:ascii="Times New Roman" w:hAnsi="Times New Roman" w:cs="Times New Roman"/>
          <w:sz w:val="26"/>
          <w:szCs w:val="26"/>
        </w:rPr>
      </w:pPr>
      <w:r w:rsidRPr="006B681B">
        <w:rPr>
          <w:rFonts w:ascii="Times New Roman" w:hAnsi="Times New Roman" w:cs="Times New Roman"/>
          <w:sz w:val="26"/>
          <w:szCs w:val="26"/>
        </w:rPr>
        <w:t>В рамках данных программ осуществляется модернизация и приобретение оборудования, реконструкция сетей водоснабжения и теплоснабжения объектов города. Темп роста инвестиций в производство и распределение электроэнергии, газа и воды составит в 201</w:t>
      </w:r>
      <w:r w:rsidR="00AC208B" w:rsidRPr="006B681B">
        <w:rPr>
          <w:rFonts w:ascii="Times New Roman" w:hAnsi="Times New Roman" w:cs="Times New Roman"/>
          <w:sz w:val="26"/>
          <w:szCs w:val="26"/>
        </w:rPr>
        <w:t>5</w:t>
      </w:r>
      <w:r w:rsidRPr="006B681B">
        <w:rPr>
          <w:rFonts w:ascii="Times New Roman" w:hAnsi="Times New Roman" w:cs="Times New Roman"/>
          <w:sz w:val="26"/>
          <w:szCs w:val="26"/>
        </w:rPr>
        <w:t xml:space="preserve"> году </w:t>
      </w:r>
      <w:r w:rsidR="004036D8" w:rsidRPr="006B681B">
        <w:rPr>
          <w:rFonts w:ascii="Times New Roman" w:hAnsi="Times New Roman" w:cs="Times New Roman"/>
          <w:sz w:val="26"/>
          <w:szCs w:val="26"/>
        </w:rPr>
        <w:t>108,04</w:t>
      </w:r>
      <w:r w:rsidRPr="006B681B">
        <w:rPr>
          <w:rFonts w:ascii="Times New Roman" w:hAnsi="Times New Roman" w:cs="Times New Roman"/>
          <w:sz w:val="26"/>
          <w:szCs w:val="26"/>
        </w:rPr>
        <w:t>% (</w:t>
      </w:r>
      <w:r w:rsidR="004036D8" w:rsidRPr="006B681B">
        <w:rPr>
          <w:rFonts w:ascii="Times New Roman" w:hAnsi="Times New Roman" w:cs="Times New Roman"/>
          <w:sz w:val="26"/>
          <w:szCs w:val="26"/>
        </w:rPr>
        <w:t>401,6</w:t>
      </w:r>
      <w:r w:rsidRPr="006B681B">
        <w:rPr>
          <w:rFonts w:ascii="Times New Roman" w:hAnsi="Times New Roman" w:cs="Times New Roman"/>
          <w:sz w:val="26"/>
          <w:szCs w:val="26"/>
        </w:rPr>
        <w:t xml:space="preserve"> м</w:t>
      </w:r>
      <w:r w:rsidR="00762B0C" w:rsidRPr="006B681B">
        <w:rPr>
          <w:rFonts w:ascii="Times New Roman" w:hAnsi="Times New Roman" w:cs="Times New Roman"/>
          <w:sz w:val="26"/>
          <w:szCs w:val="26"/>
        </w:rPr>
        <w:t>лн. рублей), к 201</w:t>
      </w:r>
      <w:r w:rsidR="00AC208B" w:rsidRPr="006B681B">
        <w:rPr>
          <w:rFonts w:ascii="Times New Roman" w:hAnsi="Times New Roman" w:cs="Times New Roman"/>
          <w:sz w:val="26"/>
          <w:szCs w:val="26"/>
        </w:rPr>
        <w:t>8</w:t>
      </w:r>
      <w:r w:rsidR="00762B0C" w:rsidRPr="006B681B">
        <w:rPr>
          <w:rFonts w:ascii="Times New Roman" w:hAnsi="Times New Roman" w:cs="Times New Roman"/>
          <w:sz w:val="26"/>
          <w:szCs w:val="26"/>
        </w:rPr>
        <w:t xml:space="preserve"> году – </w:t>
      </w:r>
      <w:r w:rsidR="00AC208B" w:rsidRPr="006B681B">
        <w:rPr>
          <w:rFonts w:ascii="Times New Roman" w:hAnsi="Times New Roman" w:cs="Times New Roman"/>
          <w:sz w:val="26"/>
          <w:szCs w:val="26"/>
        </w:rPr>
        <w:t>104</w:t>
      </w:r>
      <w:r w:rsidR="004036D8" w:rsidRPr="006B681B">
        <w:rPr>
          <w:rFonts w:ascii="Times New Roman" w:hAnsi="Times New Roman" w:cs="Times New Roman"/>
          <w:sz w:val="26"/>
          <w:szCs w:val="26"/>
        </w:rPr>
        <w:t>,8</w:t>
      </w:r>
      <w:r w:rsidRPr="006B681B">
        <w:rPr>
          <w:rFonts w:ascii="Times New Roman" w:hAnsi="Times New Roman" w:cs="Times New Roman"/>
          <w:sz w:val="26"/>
          <w:szCs w:val="26"/>
        </w:rPr>
        <w:t>%</w:t>
      </w:r>
      <w:r w:rsidR="00FD2393" w:rsidRPr="006B681B">
        <w:rPr>
          <w:rFonts w:ascii="Times New Roman" w:hAnsi="Times New Roman" w:cs="Times New Roman"/>
          <w:sz w:val="26"/>
          <w:szCs w:val="26"/>
        </w:rPr>
        <w:t xml:space="preserve"> (</w:t>
      </w:r>
      <w:r w:rsidR="004036D8" w:rsidRPr="006B681B">
        <w:rPr>
          <w:rFonts w:ascii="Times New Roman" w:hAnsi="Times New Roman" w:cs="Times New Roman"/>
          <w:sz w:val="26"/>
          <w:szCs w:val="26"/>
        </w:rPr>
        <w:t>512,03</w:t>
      </w:r>
      <w:r w:rsidR="00FD2393" w:rsidRPr="006B681B">
        <w:rPr>
          <w:rFonts w:ascii="Times New Roman" w:hAnsi="Times New Roman" w:cs="Times New Roman"/>
          <w:sz w:val="26"/>
          <w:szCs w:val="26"/>
        </w:rPr>
        <w:t xml:space="preserve"> млн. рублей)</w:t>
      </w:r>
      <w:r w:rsidR="004036D8" w:rsidRPr="006B681B">
        <w:rPr>
          <w:rFonts w:ascii="Times New Roman" w:hAnsi="Times New Roman" w:cs="Times New Roman"/>
          <w:sz w:val="26"/>
          <w:szCs w:val="26"/>
        </w:rPr>
        <w:t xml:space="preserve"> по второму варианту</w:t>
      </w:r>
      <w:r w:rsidR="00FD2393" w:rsidRPr="006B681B">
        <w:rPr>
          <w:rFonts w:ascii="Times New Roman" w:hAnsi="Times New Roman" w:cs="Times New Roman"/>
          <w:sz w:val="26"/>
          <w:szCs w:val="26"/>
        </w:rPr>
        <w:t>.</w:t>
      </w:r>
    </w:p>
    <w:p w:rsidR="00F05A30" w:rsidRPr="006B681B" w:rsidRDefault="00B56A7A" w:rsidP="0022054C">
      <w:pPr>
        <w:autoSpaceDE w:val="0"/>
        <w:autoSpaceDN w:val="0"/>
        <w:adjustRightInd w:val="0"/>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2015 году продолжается строительство спортивно-культурного комплекса «Галактика». </w:t>
      </w:r>
      <w:r w:rsidR="00CA35E1" w:rsidRPr="006B681B">
        <w:rPr>
          <w:rFonts w:ascii="Times New Roman" w:hAnsi="Times New Roman" w:cs="Times New Roman"/>
          <w:sz w:val="26"/>
          <w:szCs w:val="26"/>
        </w:rPr>
        <w:t>Объем инвестиций, направленных в строительство</w:t>
      </w:r>
      <w:r w:rsidR="004036D8" w:rsidRPr="006B681B">
        <w:rPr>
          <w:rFonts w:ascii="Times New Roman" w:hAnsi="Times New Roman" w:cs="Times New Roman"/>
          <w:sz w:val="26"/>
          <w:szCs w:val="26"/>
        </w:rPr>
        <w:t>,</w:t>
      </w:r>
      <w:r w:rsidR="00CA35E1" w:rsidRPr="006B681B">
        <w:rPr>
          <w:rFonts w:ascii="Times New Roman" w:hAnsi="Times New Roman" w:cs="Times New Roman"/>
          <w:sz w:val="26"/>
          <w:szCs w:val="26"/>
        </w:rPr>
        <w:t xml:space="preserve"> п</w:t>
      </w:r>
      <w:r w:rsidR="00F05A30" w:rsidRPr="006B681B">
        <w:rPr>
          <w:rFonts w:ascii="Times New Roman" w:hAnsi="Times New Roman" w:cs="Times New Roman"/>
          <w:sz w:val="26"/>
          <w:szCs w:val="26"/>
        </w:rPr>
        <w:t>о оценке в 201</w:t>
      </w:r>
      <w:r w:rsidR="00AC208B" w:rsidRPr="006B681B">
        <w:rPr>
          <w:rFonts w:ascii="Times New Roman" w:hAnsi="Times New Roman" w:cs="Times New Roman"/>
          <w:sz w:val="26"/>
          <w:szCs w:val="26"/>
        </w:rPr>
        <w:t>5</w:t>
      </w:r>
      <w:r w:rsidR="00F05A30" w:rsidRPr="006B681B">
        <w:rPr>
          <w:rFonts w:ascii="Times New Roman" w:hAnsi="Times New Roman" w:cs="Times New Roman"/>
          <w:sz w:val="26"/>
          <w:szCs w:val="26"/>
        </w:rPr>
        <w:t xml:space="preserve"> году составит </w:t>
      </w:r>
      <w:r w:rsidR="004036D8" w:rsidRPr="006B681B">
        <w:rPr>
          <w:rFonts w:ascii="Times New Roman" w:hAnsi="Times New Roman" w:cs="Times New Roman"/>
          <w:sz w:val="26"/>
          <w:szCs w:val="26"/>
        </w:rPr>
        <w:t>172,0</w:t>
      </w:r>
      <w:r w:rsidR="00F05A30" w:rsidRPr="006B681B">
        <w:rPr>
          <w:rFonts w:ascii="Times New Roman" w:hAnsi="Times New Roman" w:cs="Times New Roman"/>
          <w:sz w:val="26"/>
          <w:szCs w:val="26"/>
        </w:rPr>
        <w:t xml:space="preserve"> млн. рублей</w:t>
      </w:r>
      <w:r w:rsidR="00762B0C" w:rsidRPr="006B681B">
        <w:rPr>
          <w:rFonts w:ascii="Times New Roman" w:hAnsi="Times New Roman" w:cs="Times New Roman"/>
          <w:sz w:val="26"/>
          <w:szCs w:val="26"/>
        </w:rPr>
        <w:t xml:space="preserve"> (</w:t>
      </w:r>
      <w:r w:rsidR="004036D8" w:rsidRPr="006B681B">
        <w:rPr>
          <w:rFonts w:ascii="Times New Roman" w:hAnsi="Times New Roman" w:cs="Times New Roman"/>
          <w:sz w:val="26"/>
          <w:szCs w:val="26"/>
        </w:rPr>
        <w:t>158,77</w:t>
      </w:r>
      <w:r w:rsidR="00705678" w:rsidRPr="006B681B">
        <w:rPr>
          <w:rFonts w:ascii="Times New Roman" w:hAnsi="Times New Roman" w:cs="Times New Roman"/>
          <w:sz w:val="26"/>
          <w:szCs w:val="26"/>
        </w:rPr>
        <w:t>% к уровню 201</w:t>
      </w:r>
      <w:r w:rsidR="00AC208B" w:rsidRPr="006B681B">
        <w:rPr>
          <w:rFonts w:ascii="Times New Roman" w:hAnsi="Times New Roman" w:cs="Times New Roman"/>
          <w:sz w:val="26"/>
          <w:szCs w:val="26"/>
        </w:rPr>
        <w:t>4</w:t>
      </w:r>
      <w:r w:rsidR="00705678" w:rsidRPr="006B681B">
        <w:rPr>
          <w:rFonts w:ascii="Times New Roman" w:hAnsi="Times New Roman" w:cs="Times New Roman"/>
          <w:sz w:val="26"/>
          <w:szCs w:val="26"/>
        </w:rPr>
        <w:t xml:space="preserve"> года)</w:t>
      </w:r>
      <w:r w:rsidR="00F05A30" w:rsidRPr="006B681B">
        <w:rPr>
          <w:rFonts w:ascii="Times New Roman" w:hAnsi="Times New Roman" w:cs="Times New Roman"/>
          <w:sz w:val="26"/>
          <w:szCs w:val="26"/>
        </w:rPr>
        <w:t>. В последующие годы предусматривается продолжение работ по строительству жилья, детских дошкольных учреждений, благоустройству микрорайонов и строительству инженерных сетей к вновь вводимым жилым домам.</w:t>
      </w:r>
    </w:p>
    <w:p w:rsidR="002118CE" w:rsidRPr="006B681B" w:rsidRDefault="00950AEE"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w:t>
      </w:r>
      <w:r w:rsidR="00EC44DE" w:rsidRPr="006B681B">
        <w:rPr>
          <w:rFonts w:ascii="Times New Roman" w:hAnsi="Times New Roman" w:cs="Times New Roman"/>
          <w:sz w:val="26"/>
          <w:szCs w:val="26"/>
        </w:rPr>
        <w:t xml:space="preserve">2015 </w:t>
      </w:r>
      <w:r w:rsidR="0046705C" w:rsidRPr="006B681B">
        <w:rPr>
          <w:rFonts w:ascii="Times New Roman" w:hAnsi="Times New Roman" w:cs="Times New Roman"/>
          <w:sz w:val="26"/>
          <w:szCs w:val="26"/>
        </w:rPr>
        <w:t>год</w:t>
      </w:r>
      <w:r w:rsidR="00F054D0" w:rsidRPr="006B681B">
        <w:rPr>
          <w:rFonts w:ascii="Times New Roman" w:hAnsi="Times New Roman" w:cs="Times New Roman"/>
          <w:sz w:val="26"/>
          <w:szCs w:val="26"/>
        </w:rPr>
        <w:t>у</w:t>
      </w:r>
      <w:r w:rsidR="00EC44DE" w:rsidRPr="006B681B">
        <w:rPr>
          <w:rFonts w:ascii="Times New Roman" w:hAnsi="Times New Roman" w:cs="Times New Roman"/>
          <w:sz w:val="26"/>
          <w:szCs w:val="26"/>
        </w:rPr>
        <w:t xml:space="preserve"> буд</w:t>
      </w:r>
      <w:r w:rsidRPr="006B681B">
        <w:rPr>
          <w:rFonts w:ascii="Times New Roman" w:hAnsi="Times New Roman" w:cs="Times New Roman"/>
          <w:sz w:val="26"/>
          <w:szCs w:val="26"/>
        </w:rPr>
        <w:t xml:space="preserve">ет продолжена реконструкция поликлиники по обслуживанию взрослого населения города Когалыма мощностью 850 посещений. I очередь реконструкции завершена в 2013 году в рамках Соглашения о сотрудничестве между Правительством Ханты-Мансийского автономного округа – Югры и </w:t>
      </w:r>
      <w:r w:rsidR="00A43F8B">
        <w:rPr>
          <w:rFonts w:ascii="Times New Roman" w:hAnsi="Times New Roman" w:cs="Times New Roman"/>
          <w:sz w:val="26"/>
          <w:szCs w:val="26"/>
        </w:rPr>
        <w:t>публичным</w:t>
      </w:r>
      <w:r w:rsidRPr="006B681B">
        <w:rPr>
          <w:rFonts w:ascii="Times New Roman" w:hAnsi="Times New Roman" w:cs="Times New Roman"/>
          <w:sz w:val="26"/>
          <w:szCs w:val="26"/>
        </w:rPr>
        <w:t xml:space="preserve"> акционерным обществом </w:t>
      </w:r>
      <w:r w:rsidR="00F054D0" w:rsidRPr="006B681B">
        <w:rPr>
          <w:rFonts w:ascii="Times New Roman" w:hAnsi="Times New Roman" w:cs="Times New Roman"/>
          <w:sz w:val="26"/>
          <w:szCs w:val="26"/>
        </w:rPr>
        <w:t>«</w:t>
      </w:r>
      <w:r w:rsidRPr="006B681B">
        <w:rPr>
          <w:rFonts w:ascii="Times New Roman" w:hAnsi="Times New Roman" w:cs="Times New Roman"/>
          <w:sz w:val="26"/>
          <w:szCs w:val="26"/>
        </w:rPr>
        <w:t>Нефтяная компания</w:t>
      </w:r>
      <w:r w:rsidR="00FD2393" w:rsidRPr="006B681B">
        <w:rPr>
          <w:rFonts w:ascii="Times New Roman" w:hAnsi="Times New Roman" w:cs="Times New Roman"/>
          <w:sz w:val="26"/>
          <w:szCs w:val="26"/>
        </w:rPr>
        <w:t xml:space="preserve"> «ЛУКОЙЛ».</w:t>
      </w:r>
      <w:r w:rsidR="002979C2" w:rsidRPr="006B681B">
        <w:rPr>
          <w:rFonts w:ascii="Times New Roman" w:hAnsi="Times New Roman" w:cs="Times New Roman"/>
          <w:sz w:val="26"/>
          <w:szCs w:val="26"/>
        </w:rPr>
        <w:t xml:space="preserve"> В 2014 году заверши</w:t>
      </w:r>
      <w:r w:rsidR="00F054D0" w:rsidRPr="006B681B">
        <w:rPr>
          <w:rFonts w:ascii="Times New Roman" w:hAnsi="Times New Roman" w:cs="Times New Roman"/>
          <w:sz w:val="26"/>
          <w:szCs w:val="26"/>
        </w:rPr>
        <w:t>лась</w:t>
      </w:r>
      <w:r w:rsidRPr="006B681B">
        <w:rPr>
          <w:rFonts w:ascii="Times New Roman" w:hAnsi="Times New Roman" w:cs="Times New Roman"/>
          <w:sz w:val="26"/>
          <w:szCs w:val="26"/>
        </w:rPr>
        <w:t xml:space="preserve"> реконструкция здания начальн</w:t>
      </w:r>
      <w:r w:rsidR="002979C2" w:rsidRPr="006B681B">
        <w:rPr>
          <w:rFonts w:ascii="Times New Roman" w:hAnsi="Times New Roman" w:cs="Times New Roman"/>
          <w:sz w:val="26"/>
          <w:szCs w:val="26"/>
        </w:rPr>
        <w:t>ой общеобразовательной школы №4</w:t>
      </w:r>
      <w:r w:rsidRPr="006B681B">
        <w:rPr>
          <w:rFonts w:ascii="Times New Roman" w:hAnsi="Times New Roman" w:cs="Times New Roman"/>
          <w:sz w:val="26"/>
          <w:szCs w:val="26"/>
        </w:rPr>
        <w:t xml:space="preserve"> под размещение поликлиники. Темп роста объема капитальных вложений в здравоохранение и предоставление социальных услуг в 201</w:t>
      </w:r>
      <w:r w:rsidR="00F054D0" w:rsidRPr="006B681B">
        <w:rPr>
          <w:rFonts w:ascii="Times New Roman" w:hAnsi="Times New Roman" w:cs="Times New Roman"/>
          <w:sz w:val="26"/>
          <w:szCs w:val="26"/>
        </w:rPr>
        <w:t>5</w:t>
      </w:r>
      <w:r w:rsidRPr="006B681B">
        <w:rPr>
          <w:rFonts w:ascii="Times New Roman" w:hAnsi="Times New Roman" w:cs="Times New Roman"/>
          <w:sz w:val="26"/>
          <w:szCs w:val="26"/>
        </w:rPr>
        <w:t xml:space="preserve"> году составит </w:t>
      </w:r>
      <w:r w:rsidR="007937FB" w:rsidRPr="006B681B">
        <w:rPr>
          <w:rFonts w:ascii="Times New Roman" w:hAnsi="Times New Roman" w:cs="Times New Roman"/>
          <w:sz w:val="26"/>
          <w:szCs w:val="26"/>
        </w:rPr>
        <w:t>90,77</w:t>
      </w:r>
      <w:r w:rsidR="002979C2" w:rsidRPr="006B681B">
        <w:rPr>
          <w:rFonts w:ascii="Times New Roman" w:hAnsi="Times New Roman" w:cs="Times New Roman"/>
          <w:sz w:val="26"/>
          <w:szCs w:val="26"/>
        </w:rPr>
        <w:t>% в</w:t>
      </w:r>
      <w:r w:rsidR="00B96BCD" w:rsidRPr="006B681B">
        <w:rPr>
          <w:rFonts w:ascii="Times New Roman" w:hAnsi="Times New Roman" w:cs="Times New Roman"/>
          <w:sz w:val="26"/>
          <w:szCs w:val="26"/>
        </w:rPr>
        <w:t xml:space="preserve"> сопоставимых ценах к 201</w:t>
      </w:r>
      <w:r w:rsidR="00F054D0" w:rsidRPr="006B681B">
        <w:rPr>
          <w:rFonts w:ascii="Times New Roman" w:hAnsi="Times New Roman" w:cs="Times New Roman"/>
          <w:sz w:val="26"/>
          <w:szCs w:val="26"/>
        </w:rPr>
        <w:t>4</w:t>
      </w:r>
      <w:r w:rsidR="00B96BCD" w:rsidRPr="006B681B">
        <w:rPr>
          <w:rFonts w:ascii="Times New Roman" w:hAnsi="Times New Roman" w:cs="Times New Roman"/>
          <w:sz w:val="26"/>
          <w:szCs w:val="26"/>
        </w:rPr>
        <w:t xml:space="preserve"> году (</w:t>
      </w:r>
      <w:r w:rsidR="00F054D0" w:rsidRPr="006B681B">
        <w:rPr>
          <w:rFonts w:ascii="Times New Roman" w:hAnsi="Times New Roman" w:cs="Times New Roman"/>
          <w:sz w:val="26"/>
          <w:szCs w:val="26"/>
        </w:rPr>
        <w:t>252,8</w:t>
      </w:r>
      <w:r w:rsidR="00B96BCD" w:rsidRPr="006B681B">
        <w:rPr>
          <w:rFonts w:ascii="Times New Roman" w:hAnsi="Times New Roman" w:cs="Times New Roman"/>
          <w:sz w:val="26"/>
          <w:szCs w:val="26"/>
        </w:rPr>
        <w:t xml:space="preserve"> млн. рублей), в дальнейшей перс</w:t>
      </w:r>
      <w:r w:rsidR="002979C2" w:rsidRPr="006B681B">
        <w:rPr>
          <w:rFonts w:ascii="Times New Roman" w:hAnsi="Times New Roman" w:cs="Times New Roman"/>
          <w:sz w:val="26"/>
          <w:szCs w:val="26"/>
        </w:rPr>
        <w:t xml:space="preserve">пективе </w:t>
      </w:r>
      <w:r w:rsidR="00F054D0" w:rsidRPr="006B681B">
        <w:rPr>
          <w:rFonts w:ascii="Times New Roman" w:hAnsi="Times New Roman" w:cs="Times New Roman"/>
          <w:sz w:val="26"/>
          <w:szCs w:val="26"/>
        </w:rPr>
        <w:t>ожидается</w:t>
      </w:r>
      <w:r w:rsidR="002979C2" w:rsidRPr="006B681B">
        <w:rPr>
          <w:rFonts w:ascii="Times New Roman" w:hAnsi="Times New Roman" w:cs="Times New Roman"/>
          <w:sz w:val="26"/>
          <w:szCs w:val="26"/>
        </w:rPr>
        <w:t xml:space="preserve"> рост </w:t>
      </w:r>
      <w:r w:rsidR="00F054D0" w:rsidRPr="006B681B">
        <w:rPr>
          <w:rFonts w:ascii="Times New Roman" w:hAnsi="Times New Roman" w:cs="Times New Roman"/>
          <w:sz w:val="26"/>
          <w:szCs w:val="26"/>
        </w:rPr>
        <w:t>капитальных вложений</w:t>
      </w:r>
      <w:r w:rsidR="00A42A84" w:rsidRPr="006B681B">
        <w:rPr>
          <w:rFonts w:ascii="Times New Roman" w:hAnsi="Times New Roman" w:cs="Times New Roman"/>
          <w:sz w:val="26"/>
          <w:szCs w:val="26"/>
        </w:rPr>
        <w:t xml:space="preserve"> (102,</w:t>
      </w:r>
      <w:r w:rsidR="007937FB" w:rsidRPr="006B681B">
        <w:rPr>
          <w:rFonts w:ascii="Times New Roman" w:hAnsi="Times New Roman" w:cs="Times New Roman"/>
          <w:sz w:val="26"/>
          <w:szCs w:val="26"/>
        </w:rPr>
        <w:t>5</w:t>
      </w:r>
      <w:r w:rsidR="00B96BCD" w:rsidRPr="006B681B">
        <w:rPr>
          <w:rFonts w:ascii="Times New Roman" w:hAnsi="Times New Roman" w:cs="Times New Roman"/>
          <w:sz w:val="26"/>
          <w:szCs w:val="26"/>
        </w:rPr>
        <w:t>% к 201</w:t>
      </w:r>
      <w:r w:rsidR="00F054D0" w:rsidRPr="006B681B">
        <w:rPr>
          <w:rFonts w:ascii="Times New Roman" w:hAnsi="Times New Roman" w:cs="Times New Roman"/>
          <w:sz w:val="26"/>
          <w:szCs w:val="26"/>
        </w:rPr>
        <w:t>8</w:t>
      </w:r>
      <w:r w:rsidR="00B96BCD" w:rsidRPr="006B681B">
        <w:rPr>
          <w:rFonts w:ascii="Times New Roman" w:hAnsi="Times New Roman" w:cs="Times New Roman"/>
          <w:sz w:val="26"/>
          <w:szCs w:val="26"/>
        </w:rPr>
        <w:t xml:space="preserve"> году</w:t>
      </w:r>
      <w:r w:rsidR="007937FB" w:rsidRPr="006B681B">
        <w:rPr>
          <w:rFonts w:ascii="Times New Roman" w:hAnsi="Times New Roman" w:cs="Times New Roman"/>
          <w:sz w:val="26"/>
          <w:szCs w:val="26"/>
        </w:rPr>
        <w:t xml:space="preserve"> по второму варианту</w:t>
      </w:r>
      <w:r w:rsidR="00B96BCD" w:rsidRPr="006B681B">
        <w:rPr>
          <w:rFonts w:ascii="Times New Roman" w:hAnsi="Times New Roman" w:cs="Times New Roman"/>
          <w:sz w:val="26"/>
          <w:szCs w:val="26"/>
        </w:rPr>
        <w:t>).</w:t>
      </w:r>
      <w:r w:rsidRPr="006B681B">
        <w:rPr>
          <w:rFonts w:ascii="Times New Roman" w:hAnsi="Times New Roman" w:cs="Times New Roman"/>
          <w:sz w:val="26"/>
          <w:szCs w:val="26"/>
        </w:rPr>
        <w:t xml:space="preserve"> </w:t>
      </w:r>
    </w:p>
    <w:p w:rsidR="002E6E23" w:rsidRPr="006B681B" w:rsidRDefault="00B96BCD"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прогнозном периоде</w:t>
      </w:r>
      <w:r w:rsidR="002118CE" w:rsidRPr="006B681B">
        <w:rPr>
          <w:rFonts w:ascii="Times New Roman" w:hAnsi="Times New Roman" w:cs="Times New Roman"/>
          <w:sz w:val="26"/>
          <w:szCs w:val="26"/>
        </w:rPr>
        <w:t xml:space="preserve"> </w:t>
      </w:r>
      <w:r w:rsidRPr="006B681B">
        <w:rPr>
          <w:rFonts w:ascii="Times New Roman" w:hAnsi="Times New Roman" w:cs="Times New Roman"/>
          <w:sz w:val="26"/>
          <w:szCs w:val="26"/>
        </w:rPr>
        <w:t xml:space="preserve">планируется </w:t>
      </w:r>
      <w:r w:rsidR="0082476D" w:rsidRPr="006B681B">
        <w:rPr>
          <w:rFonts w:ascii="Times New Roman" w:hAnsi="Times New Roman" w:cs="Times New Roman"/>
          <w:sz w:val="26"/>
          <w:szCs w:val="26"/>
        </w:rPr>
        <w:t xml:space="preserve">осуществить </w:t>
      </w:r>
      <w:r w:rsidRPr="006B681B">
        <w:rPr>
          <w:rFonts w:ascii="Times New Roman" w:hAnsi="Times New Roman" w:cs="Times New Roman"/>
          <w:sz w:val="26"/>
          <w:szCs w:val="26"/>
        </w:rPr>
        <w:t>строительство детского сада на 320 мест по ул.</w:t>
      </w:r>
      <w:r w:rsidR="002118CE" w:rsidRPr="006B681B">
        <w:rPr>
          <w:rFonts w:ascii="Times New Roman" w:hAnsi="Times New Roman" w:cs="Times New Roman"/>
          <w:sz w:val="26"/>
          <w:szCs w:val="26"/>
        </w:rPr>
        <w:t xml:space="preserve"> </w:t>
      </w:r>
      <w:r w:rsidRPr="006B681B">
        <w:rPr>
          <w:rFonts w:ascii="Times New Roman" w:hAnsi="Times New Roman" w:cs="Times New Roman"/>
          <w:sz w:val="26"/>
          <w:szCs w:val="26"/>
        </w:rPr>
        <w:t>Градостроителей</w:t>
      </w:r>
      <w:r w:rsidR="002118CE" w:rsidRPr="006B681B">
        <w:rPr>
          <w:rFonts w:ascii="Times New Roman" w:hAnsi="Times New Roman" w:cs="Times New Roman"/>
          <w:sz w:val="26"/>
          <w:szCs w:val="26"/>
        </w:rPr>
        <w:t>.</w:t>
      </w:r>
      <w:r w:rsidR="00C87F87" w:rsidRPr="006B681B">
        <w:rPr>
          <w:rFonts w:ascii="Times New Roman" w:hAnsi="Times New Roman" w:cs="Times New Roman"/>
          <w:sz w:val="26"/>
          <w:szCs w:val="26"/>
        </w:rPr>
        <w:t xml:space="preserve"> </w:t>
      </w:r>
      <w:r w:rsidR="002118CE" w:rsidRPr="006B681B">
        <w:rPr>
          <w:rFonts w:ascii="Times New Roman" w:hAnsi="Times New Roman" w:cs="Times New Roman"/>
          <w:sz w:val="26"/>
          <w:szCs w:val="26"/>
        </w:rPr>
        <w:t>Инвестиции в образование</w:t>
      </w:r>
      <w:r w:rsidR="00C87F87" w:rsidRPr="006B681B">
        <w:rPr>
          <w:rFonts w:ascii="Times New Roman" w:hAnsi="Times New Roman" w:cs="Times New Roman"/>
          <w:sz w:val="26"/>
          <w:szCs w:val="26"/>
        </w:rPr>
        <w:t xml:space="preserve"> в 2015 году</w:t>
      </w:r>
      <w:r w:rsidR="002118CE" w:rsidRPr="006B681B">
        <w:rPr>
          <w:rFonts w:ascii="Times New Roman" w:hAnsi="Times New Roman" w:cs="Times New Roman"/>
          <w:sz w:val="26"/>
          <w:szCs w:val="26"/>
        </w:rPr>
        <w:t xml:space="preserve"> состав</w:t>
      </w:r>
      <w:r w:rsidR="00EC44DE" w:rsidRPr="006B681B">
        <w:rPr>
          <w:rFonts w:ascii="Times New Roman" w:hAnsi="Times New Roman" w:cs="Times New Roman"/>
          <w:sz w:val="26"/>
          <w:szCs w:val="26"/>
        </w:rPr>
        <w:t>я</w:t>
      </w:r>
      <w:r w:rsidR="00A42A84" w:rsidRPr="006B681B">
        <w:rPr>
          <w:rFonts w:ascii="Times New Roman" w:hAnsi="Times New Roman" w:cs="Times New Roman"/>
          <w:sz w:val="26"/>
          <w:szCs w:val="26"/>
        </w:rPr>
        <w:t xml:space="preserve">т </w:t>
      </w:r>
      <w:r w:rsidR="002E6E23" w:rsidRPr="006B681B">
        <w:rPr>
          <w:rFonts w:ascii="Times New Roman" w:hAnsi="Times New Roman" w:cs="Times New Roman"/>
          <w:sz w:val="26"/>
          <w:szCs w:val="26"/>
        </w:rPr>
        <w:t>62,8</w:t>
      </w:r>
      <w:r w:rsidR="00CF7ABD" w:rsidRPr="006B681B">
        <w:rPr>
          <w:rFonts w:ascii="Times New Roman" w:hAnsi="Times New Roman" w:cs="Times New Roman"/>
          <w:sz w:val="26"/>
          <w:szCs w:val="26"/>
        </w:rPr>
        <w:t>% к уровню 201</w:t>
      </w:r>
      <w:r w:rsidR="00C87F87" w:rsidRPr="006B681B">
        <w:rPr>
          <w:rFonts w:ascii="Times New Roman" w:hAnsi="Times New Roman" w:cs="Times New Roman"/>
          <w:sz w:val="26"/>
          <w:szCs w:val="26"/>
        </w:rPr>
        <w:t>4</w:t>
      </w:r>
      <w:r w:rsidR="002E6E23" w:rsidRPr="006B681B">
        <w:rPr>
          <w:rFonts w:ascii="Times New Roman" w:hAnsi="Times New Roman" w:cs="Times New Roman"/>
          <w:sz w:val="26"/>
          <w:szCs w:val="26"/>
        </w:rPr>
        <w:t xml:space="preserve"> года, в дальнейшей перспективе ожидается рост капитальных вложений (102,5% к 2018 году по второму варианту). </w:t>
      </w:r>
    </w:p>
    <w:p w:rsidR="00AD4A99" w:rsidRPr="006B681B" w:rsidRDefault="00AD4A99" w:rsidP="0022054C">
      <w:pPr>
        <w:autoSpaceDE w:val="0"/>
        <w:autoSpaceDN w:val="0"/>
        <w:adjustRightInd w:val="0"/>
        <w:spacing w:after="0" w:line="240" w:lineRule="auto"/>
        <w:ind w:firstLine="709"/>
        <w:jc w:val="both"/>
        <w:rPr>
          <w:rFonts w:ascii="Times New Roman" w:hAnsi="Times New Roman" w:cs="Times New Roman"/>
          <w:sz w:val="26"/>
          <w:szCs w:val="26"/>
        </w:rPr>
      </w:pPr>
    </w:p>
    <w:p w:rsidR="00F05A30" w:rsidRPr="006B681B" w:rsidRDefault="00F05A30" w:rsidP="0022054C">
      <w:pPr>
        <w:autoSpaceDE w:val="0"/>
        <w:autoSpaceDN w:val="0"/>
        <w:adjustRightInd w:val="0"/>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Основным источником финансирования капитальных вложений </w:t>
      </w:r>
      <w:r w:rsidR="00A1786C" w:rsidRPr="006B681B">
        <w:rPr>
          <w:rFonts w:ascii="Times New Roman" w:hAnsi="Times New Roman" w:cs="Times New Roman"/>
          <w:sz w:val="26"/>
          <w:szCs w:val="26"/>
        </w:rPr>
        <w:t xml:space="preserve">в 2014 году </w:t>
      </w:r>
      <w:r w:rsidRPr="006B681B">
        <w:rPr>
          <w:rFonts w:ascii="Times New Roman" w:hAnsi="Times New Roman" w:cs="Times New Roman"/>
          <w:sz w:val="26"/>
          <w:szCs w:val="26"/>
        </w:rPr>
        <w:t xml:space="preserve">являются </w:t>
      </w:r>
      <w:r w:rsidR="00A1786C" w:rsidRPr="006B681B">
        <w:rPr>
          <w:rFonts w:ascii="Times New Roman" w:hAnsi="Times New Roman" w:cs="Times New Roman"/>
          <w:sz w:val="26"/>
          <w:szCs w:val="26"/>
        </w:rPr>
        <w:t>привлеченны</w:t>
      </w:r>
      <w:r w:rsidRPr="006B681B">
        <w:rPr>
          <w:rFonts w:ascii="Times New Roman" w:hAnsi="Times New Roman" w:cs="Times New Roman"/>
          <w:sz w:val="26"/>
          <w:szCs w:val="26"/>
        </w:rPr>
        <w:t>е средства предприятий</w:t>
      </w:r>
      <w:r w:rsidR="0046705C" w:rsidRPr="006B681B">
        <w:rPr>
          <w:rFonts w:ascii="Times New Roman" w:hAnsi="Times New Roman" w:cs="Times New Roman"/>
          <w:sz w:val="26"/>
          <w:szCs w:val="26"/>
        </w:rPr>
        <w:t xml:space="preserve"> – </w:t>
      </w:r>
      <w:r w:rsidR="00A1786C" w:rsidRPr="006B681B">
        <w:rPr>
          <w:rFonts w:ascii="Times New Roman" w:hAnsi="Times New Roman" w:cs="Times New Roman"/>
          <w:sz w:val="26"/>
          <w:szCs w:val="26"/>
        </w:rPr>
        <w:t>кредиты банков, заемные средства других организаций, бюджетные средства</w:t>
      </w:r>
      <w:r w:rsidR="0046705C" w:rsidRPr="006B681B">
        <w:rPr>
          <w:rFonts w:ascii="Times New Roman" w:hAnsi="Times New Roman" w:cs="Times New Roman"/>
          <w:sz w:val="26"/>
          <w:szCs w:val="26"/>
        </w:rPr>
        <w:t>, которые состав</w:t>
      </w:r>
      <w:r w:rsidR="00BE431D" w:rsidRPr="006B681B">
        <w:rPr>
          <w:rFonts w:ascii="Times New Roman" w:hAnsi="Times New Roman" w:cs="Times New Roman"/>
          <w:sz w:val="26"/>
          <w:szCs w:val="26"/>
        </w:rPr>
        <w:t>или 5</w:t>
      </w:r>
      <w:r w:rsidR="00A1786C" w:rsidRPr="006B681B">
        <w:rPr>
          <w:rFonts w:ascii="Times New Roman" w:hAnsi="Times New Roman" w:cs="Times New Roman"/>
          <w:sz w:val="26"/>
          <w:szCs w:val="26"/>
        </w:rPr>
        <w:t>2</w:t>
      </w:r>
      <w:r w:rsidR="00BE431D" w:rsidRPr="006B681B">
        <w:rPr>
          <w:rFonts w:ascii="Times New Roman" w:hAnsi="Times New Roman" w:cs="Times New Roman"/>
          <w:sz w:val="26"/>
          <w:szCs w:val="26"/>
        </w:rPr>
        <w:t>,8</w:t>
      </w:r>
      <w:r w:rsidRPr="006B681B">
        <w:rPr>
          <w:rFonts w:ascii="Times New Roman" w:hAnsi="Times New Roman" w:cs="Times New Roman"/>
          <w:sz w:val="26"/>
          <w:szCs w:val="26"/>
        </w:rPr>
        <w:t xml:space="preserve">% в общем объёме инвестиций. </w:t>
      </w:r>
      <w:r w:rsidR="00147E36" w:rsidRPr="006B681B">
        <w:rPr>
          <w:rFonts w:ascii="Times New Roman" w:hAnsi="Times New Roman" w:cs="Times New Roman"/>
          <w:sz w:val="26"/>
          <w:szCs w:val="26"/>
        </w:rPr>
        <w:t xml:space="preserve">В дальнейшем удельный вес капитальных вложений за счёт </w:t>
      </w:r>
      <w:r w:rsidR="00A1786C" w:rsidRPr="006B681B">
        <w:rPr>
          <w:rFonts w:ascii="Times New Roman" w:hAnsi="Times New Roman" w:cs="Times New Roman"/>
          <w:sz w:val="26"/>
          <w:szCs w:val="26"/>
        </w:rPr>
        <w:t>привлеченных</w:t>
      </w:r>
      <w:r w:rsidR="00147E36" w:rsidRPr="006B681B">
        <w:rPr>
          <w:rFonts w:ascii="Times New Roman" w:hAnsi="Times New Roman" w:cs="Times New Roman"/>
          <w:sz w:val="26"/>
          <w:szCs w:val="26"/>
        </w:rPr>
        <w:t xml:space="preserve"> средств </w:t>
      </w:r>
      <w:r w:rsidR="00A1786C" w:rsidRPr="006B681B">
        <w:rPr>
          <w:rFonts w:ascii="Times New Roman" w:hAnsi="Times New Roman" w:cs="Times New Roman"/>
          <w:sz w:val="26"/>
          <w:szCs w:val="26"/>
        </w:rPr>
        <w:t>незначительно снизится</w:t>
      </w:r>
      <w:r w:rsidR="00147E36" w:rsidRPr="006B681B">
        <w:rPr>
          <w:rFonts w:ascii="Times New Roman" w:hAnsi="Times New Roman" w:cs="Times New Roman"/>
          <w:sz w:val="26"/>
          <w:szCs w:val="26"/>
        </w:rPr>
        <w:t xml:space="preserve"> и составит </w:t>
      </w:r>
      <w:r w:rsidR="00A1786C" w:rsidRPr="006B681B">
        <w:rPr>
          <w:rFonts w:ascii="Times New Roman" w:hAnsi="Times New Roman" w:cs="Times New Roman"/>
          <w:sz w:val="26"/>
          <w:szCs w:val="26"/>
        </w:rPr>
        <w:t>к 2018 году</w:t>
      </w:r>
      <w:r w:rsidR="00147E36" w:rsidRPr="006B681B">
        <w:rPr>
          <w:rFonts w:ascii="Times New Roman" w:hAnsi="Times New Roman" w:cs="Times New Roman"/>
          <w:sz w:val="26"/>
          <w:szCs w:val="26"/>
        </w:rPr>
        <w:t xml:space="preserve"> </w:t>
      </w:r>
      <w:r w:rsidR="00D607DA" w:rsidRPr="006B681B">
        <w:rPr>
          <w:rFonts w:ascii="Times New Roman" w:hAnsi="Times New Roman" w:cs="Times New Roman"/>
          <w:sz w:val="26"/>
          <w:szCs w:val="26"/>
        </w:rPr>
        <w:t xml:space="preserve">50,7% по первому варианту и </w:t>
      </w:r>
      <w:r w:rsidR="00A1786C" w:rsidRPr="006B681B">
        <w:rPr>
          <w:rFonts w:ascii="Times New Roman" w:hAnsi="Times New Roman" w:cs="Times New Roman"/>
          <w:sz w:val="26"/>
          <w:szCs w:val="26"/>
        </w:rPr>
        <w:t>50,1</w:t>
      </w:r>
      <w:r w:rsidR="00147E36" w:rsidRPr="006B681B">
        <w:rPr>
          <w:rFonts w:ascii="Times New Roman" w:hAnsi="Times New Roman" w:cs="Times New Roman"/>
          <w:sz w:val="26"/>
          <w:szCs w:val="26"/>
        </w:rPr>
        <w:t>%</w:t>
      </w:r>
      <w:r w:rsidR="00A1786C" w:rsidRPr="006B681B">
        <w:rPr>
          <w:rFonts w:ascii="Times New Roman" w:hAnsi="Times New Roman" w:cs="Times New Roman"/>
          <w:sz w:val="26"/>
          <w:szCs w:val="26"/>
        </w:rPr>
        <w:t xml:space="preserve"> по второму варианту</w:t>
      </w:r>
      <w:r w:rsidR="00147E36" w:rsidRPr="006B681B">
        <w:rPr>
          <w:rFonts w:ascii="Times New Roman" w:hAnsi="Times New Roman" w:cs="Times New Roman"/>
          <w:sz w:val="26"/>
          <w:szCs w:val="26"/>
        </w:rPr>
        <w:t xml:space="preserve">. </w:t>
      </w:r>
    </w:p>
    <w:p w:rsidR="004418FC" w:rsidRPr="006B681B" w:rsidRDefault="004A24B8"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Бюджетные средства в общем объеме привлеченных средств </w:t>
      </w:r>
      <w:r w:rsidR="00147E36" w:rsidRPr="006B681B">
        <w:rPr>
          <w:rFonts w:ascii="Times New Roman" w:hAnsi="Times New Roman" w:cs="Times New Roman"/>
          <w:sz w:val="26"/>
          <w:szCs w:val="26"/>
        </w:rPr>
        <w:t>в 201</w:t>
      </w:r>
      <w:r w:rsidR="00BE431D" w:rsidRPr="006B681B">
        <w:rPr>
          <w:rFonts w:ascii="Times New Roman" w:hAnsi="Times New Roman" w:cs="Times New Roman"/>
          <w:sz w:val="26"/>
          <w:szCs w:val="26"/>
        </w:rPr>
        <w:t>4</w:t>
      </w:r>
      <w:r w:rsidR="00147E36" w:rsidRPr="006B681B">
        <w:rPr>
          <w:rFonts w:ascii="Times New Roman" w:hAnsi="Times New Roman" w:cs="Times New Roman"/>
          <w:sz w:val="26"/>
          <w:szCs w:val="26"/>
        </w:rPr>
        <w:t xml:space="preserve"> году </w:t>
      </w:r>
      <w:r w:rsidRPr="006B681B">
        <w:rPr>
          <w:rFonts w:ascii="Times New Roman" w:hAnsi="Times New Roman" w:cs="Times New Roman"/>
          <w:sz w:val="26"/>
          <w:szCs w:val="26"/>
        </w:rPr>
        <w:t>состав</w:t>
      </w:r>
      <w:r w:rsidR="00BE431D" w:rsidRPr="006B681B">
        <w:rPr>
          <w:rFonts w:ascii="Times New Roman" w:hAnsi="Times New Roman" w:cs="Times New Roman"/>
          <w:sz w:val="26"/>
          <w:szCs w:val="26"/>
        </w:rPr>
        <w:t>или</w:t>
      </w:r>
      <w:r w:rsidRPr="006B681B">
        <w:rPr>
          <w:rFonts w:ascii="Times New Roman" w:hAnsi="Times New Roman" w:cs="Times New Roman"/>
          <w:sz w:val="26"/>
          <w:szCs w:val="26"/>
        </w:rPr>
        <w:t xml:space="preserve"> </w:t>
      </w:r>
      <w:r w:rsidR="00D33F21" w:rsidRPr="006B681B">
        <w:rPr>
          <w:rFonts w:ascii="Times New Roman" w:hAnsi="Times New Roman" w:cs="Times New Roman"/>
          <w:sz w:val="26"/>
          <w:szCs w:val="26"/>
        </w:rPr>
        <w:t>8,2</w:t>
      </w:r>
      <w:r w:rsidRPr="006B681B">
        <w:rPr>
          <w:rFonts w:ascii="Times New Roman" w:hAnsi="Times New Roman" w:cs="Times New Roman"/>
          <w:sz w:val="26"/>
          <w:szCs w:val="26"/>
        </w:rPr>
        <w:t xml:space="preserve">%, </w:t>
      </w:r>
      <w:r w:rsidR="00147E36" w:rsidRPr="006B681B">
        <w:rPr>
          <w:rFonts w:ascii="Times New Roman" w:hAnsi="Times New Roman" w:cs="Times New Roman"/>
          <w:sz w:val="26"/>
          <w:szCs w:val="26"/>
        </w:rPr>
        <w:t xml:space="preserve">основные направления капитальных вложений - </w:t>
      </w:r>
      <w:r w:rsidRPr="006B681B">
        <w:rPr>
          <w:rFonts w:ascii="Times New Roman" w:hAnsi="Times New Roman" w:cs="Times New Roman"/>
          <w:sz w:val="26"/>
          <w:szCs w:val="26"/>
        </w:rPr>
        <w:t>развитие инфраструктуры в образовании, культуре, молодёжной политике, физической культуре и спорте, модернизаци</w:t>
      </w:r>
      <w:r w:rsidR="00147E36" w:rsidRPr="006B681B">
        <w:rPr>
          <w:rFonts w:ascii="Times New Roman" w:hAnsi="Times New Roman" w:cs="Times New Roman"/>
          <w:sz w:val="26"/>
          <w:szCs w:val="26"/>
        </w:rPr>
        <w:t>я и реконструкция</w:t>
      </w:r>
      <w:r w:rsidRPr="006B681B">
        <w:rPr>
          <w:rFonts w:ascii="Times New Roman" w:hAnsi="Times New Roman" w:cs="Times New Roman"/>
          <w:sz w:val="26"/>
          <w:szCs w:val="26"/>
        </w:rPr>
        <w:t xml:space="preserve"> жилищно – коммунального хозяйства и т.д.</w:t>
      </w:r>
      <w:r w:rsidR="00F05A30" w:rsidRPr="006B681B">
        <w:rPr>
          <w:rFonts w:ascii="Times New Roman" w:hAnsi="Times New Roman" w:cs="Times New Roman"/>
          <w:sz w:val="26"/>
          <w:szCs w:val="26"/>
        </w:rPr>
        <w:t xml:space="preserve"> </w:t>
      </w:r>
    </w:p>
    <w:p w:rsidR="00EC44DE" w:rsidRPr="006B681B" w:rsidRDefault="00147E3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За счёт бюджетных средств</w:t>
      </w:r>
      <w:r w:rsidR="00083041" w:rsidRPr="006B681B">
        <w:rPr>
          <w:rFonts w:ascii="Times New Roman" w:hAnsi="Times New Roman" w:cs="Times New Roman"/>
          <w:sz w:val="26"/>
          <w:szCs w:val="26"/>
        </w:rPr>
        <w:t>,</w:t>
      </w:r>
      <w:r w:rsidRPr="006B681B">
        <w:rPr>
          <w:rFonts w:ascii="Times New Roman" w:hAnsi="Times New Roman" w:cs="Times New Roman"/>
          <w:sz w:val="26"/>
          <w:szCs w:val="26"/>
        </w:rPr>
        <w:t xml:space="preserve"> в прогнозном периоде</w:t>
      </w:r>
      <w:r w:rsidR="00083041" w:rsidRPr="006B681B">
        <w:rPr>
          <w:rFonts w:ascii="Times New Roman" w:hAnsi="Times New Roman" w:cs="Times New Roman"/>
          <w:sz w:val="26"/>
          <w:szCs w:val="26"/>
        </w:rPr>
        <w:t>,</w:t>
      </w:r>
      <w:r w:rsidRPr="006B681B">
        <w:rPr>
          <w:rFonts w:ascii="Times New Roman" w:hAnsi="Times New Roman" w:cs="Times New Roman"/>
          <w:sz w:val="26"/>
          <w:szCs w:val="26"/>
        </w:rPr>
        <w:t xml:space="preserve"> будет </w:t>
      </w:r>
      <w:r w:rsidR="00083041" w:rsidRPr="006B681B">
        <w:rPr>
          <w:rFonts w:ascii="Times New Roman" w:hAnsi="Times New Roman" w:cs="Times New Roman"/>
          <w:sz w:val="26"/>
          <w:szCs w:val="26"/>
        </w:rPr>
        <w:t xml:space="preserve">осуществлено строительство </w:t>
      </w:r>
      <w:r w:rsidR="000C04B0" w:rsidRPr="006B681B">
        <w:rPr>
          <w:rFonts w:ascii="Times New Roman" w:hAnsi="Times New Roman" w:cs="Times New Roman"/>
          <w:sz w:val="26"/>
          <w:szCs w:val="26"/>
        </w:rPr>
        <w:t xml:space="preserve">магистральных инженерных сетей </w:t>
      </w:r>
      <w:r w:rsidR="00083041" w:rsidRPr="006B681B">
        <w:rPr>
          <w:rFonts w:ascii="Times New Roman" w:hAnsi="Times New Roman" w:cs="Times New Roman"/>
          <w:sz w:val="26"/>
          <w:szCs w:val="26"/>
        </w:rPr>
        <w:t xml:space="preserve">застройки жилыми домами </w:t>
      </w:r>
      <w:r w:rsidR="00A1160E" w:rsidRPr="006B681B">
        <w:rPr>
          <w:rFonts w:ascii="Times New Roman" w:hAnsi="Times New Roman" w:cs="Times New Roman"/>
          <w:sz w:val="26"/>
          <w:szCs w:val="26"/>
        </w:rPr>
        <w:t>по улице Комсомольской в</w:t>
      </w:r>
      <w:r w:rsidR="00083041" w:rsidRPr="006B681B">
        <w:rPr>
          <w:rFonts w:ascii="Times New Roman" w:hAnsi="Times New Roman" w:cs="Times New Roman"/>
          <w:sz w:val="26"/>
          <w:szCs w:val="26"/>
        </w:rPr>
        <w:t xml:space="preserve"> город</w:t>
      </w:r>
      <w:r w:rsidR="00A1160E" w:rsidRPr="006B681B">
        <w:rPr>
          <w:rFonts w:ascii="Times New Roman" w:hAnsi="Times New Roman" w:cs="Times New Roman"/>
          <w:sz w:val="26"/>
          <w:szCs w:val="26"/>
        </w:rPr>
        <w:t>е</w:t>
      </w:r>
      <w:r w:rsidR="00083041" w:rsidRPr="006B681B">
        <w:rPr>
          <w:rFonts w:ascii="Times New Roman" w:hAnsi="Times New Roman" w:cs="Times New Roman"/>
          <w:sz w:val="26"/>
          <w:szCs w:val="26"/>
        </w:rPr>
        <w:t xml:space="preserve"> Когалым</w:t>
      </w:r>
      <w:r w:rsidR="00A1160E" w:rsidRPr="006B681B">
        <w:rPr>
          <w:rFonts w:ascii="Times New Roman" w:hAnsi="Times New Roman" w:cs="Times New Roman"/>
          <w:sz w:val="26"/>
          <w:szCs w:val="26"/>
        </w:rPr>
        <w:t>е</w:t>
      </w:r>
      <w:r w:rsidR="00083041" w:rsidRPr="006B681B">
        <w:rPr>
          <w:rFonts w:ascii="Times New Roman" w:hAnsi="Times New Roman" w:cs="Times New Roman"/>
          <w:sz w:val="26"/>
          <w:szCs w:val="26"/>
        </w:rPr>
        <w:t xml:space="preserve">, </w:t>
      </w:r>
      <w:r w:rsidR="00EC1319">
        <w:rPr>
          <w:rFonts w:ascii="Times New Roman" w:hAnsi="Times New Roman" w:cs="Times New Roman"/>
          <w:sz w:val="26"/>
          <w:szCs w:val="26"/>
        </w:rPr>
        <w:t xml:space="preserve">приобретение жилья </w:t>
      </w:r>
      <w:r w:rsidR="00083041" w:rsidRPr="006B681B">
        <w:rPr>
          <w:rFonts w:ascii="Times New Roman" w:hAnsi="Times New Roman" w:cs="Times New Roman"/>
          <w:sz w:val="26"/>
          <w:szCs w:val="26"/>
        </w:rPr>
        <w:t>и т.д.</w:t>
      </w:r>
    </w:p>
    <w:p w:rsidR="00147E36" w:rsidRPr="006B681B" w:rsidRDefault="00147E36" w:rsidP="0022054C">
      <w:pPr>
        <w:spacing w:after="0" w:line="240" w:lineRule="auto"/>
        <w:ind w:firstLine="709"/>
        <w:jc w:val="both"/>
        <w:rPr>
          <w:rFonts w:ascii="Times New Roman" w:hAnsi="Times New Roman" w:cs="Times New Roman"/>
          <w:sz w:val="26"/>
          <w:szCs w:val="26"/>
        </w:rPr>
      </w:pPr>
    </w:p>
    <w:p w:rsidR="00CC059E" w:rsidRPr="006B681B" w:rsidRDefault="004A24B8" w:rsidP="0022054C">
      <w:pPr>
        <w:pStyle w:val="ConsPlusNormal"/>
        <w:jc w:val="both"/>
        <w:rPr>
          <w:rFonts w:ascii="Times New Roman" w:hAnsi="Times New Roman" w:cs="Times New Roman"/>
          <w:sz w:val="26"/>
          <w:szCs w:val="26"/>
        </w:rPr>
      </w:pPr>
      <w:r w:rsidRPr="006B681B">
        <w:rPr>
          <w:rFonts w:ascii="Times New Roman" w:hAnsi="Times New Roman" w:cs="Times New Roman"/>
          <w:sz w:val="26"/>
          <w:szCs w:val="26"/>
        </w:rPr>
        <w:t>В 201</w:t>
      </w:r>
      <w:r w:rsidR="00CC059E" w:rsidRPr="006B681B">
        <w:rPr>
          <w:rFonts w:ascii="Times New Roman" w:hAnsi="Times New Roman" w:cs="Times New Roman"/>
          <w:sz w:val="26"/>
          <w:szCs w:val="26"/>
        </w:rPr>
        <w:t>5</w:t>
      </w:r>
      <w:r w:rsidRPr="006B681B">
        <w:rPr>
          <w:rFonts w:ascii="Times New Roman" w:hAnsi="Times New Roman" w:cs="Times New Roman"/>
          <w:sz w:val="26"/>
          <w:szCs w:val="26"/>
        </w:rPr>
        <w:t xml:space="preserve"> году продолжена работа по актуализации документов стратегического развития города Когалыма. </w:t>
      </w:r>
      <w:r w:rsidR="00CC059E" w:rsidRPr="006B681B">
        <w:rPr>
          <w:rFonts w:ascii="Times New Roman" w:hAnsi="Times New Roman" w:cs="Times New Roman"/>
          <w:sz w:val="26"/>
          <w:szCs w:val="26"/>
        </w:rPr>
        <w:t>Разработан и находится на стадии согласования</w:t>
      </w:r>
      <w:r w:rsidRPr="006B681B">
        <w:rPr>
          <w:rFonts w:ascii="Times New Roman" w:hAnsi="Times New Roman" w:cs="Times New Roman"/>
          <w:sz w:val="26"/>
          <w:szCs w:val="26"/>
        </w:rPr>
        <w:t xml:space="preserve"> </w:t>
      </w:r>
      <w:r w:rsidR="00CC059E" w:rsidRPr="006B681B">
        <w:rPr>
          <w:rFonts w:ascii="Times New Roman" w:hAnsi="Times New Roman" w:cs="Times New Roman"/>
          <w:sz w:val="26"/>
          <w:szCs w:val="26"/>
        </w:rPr>
        <w:t>план мероприятий («дорожная карта») по реализации Стратегии социально-экономического развития города Когалыма до 2020 года и на период до 2030 года и План мероприятий социально-экономического развития города Когалыма на 2014-2019 годы.</w:t>
      </w:r>
    </w:p>
    <w:p w:rsidR="00EC44DE" w:rsidRPr="006B681B" w:rsidRDefault="004418FC"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прогнозном периоде продолж</w:t>
      </w:r>
      <w:r w:rsidR="00EC44DE" w:rsidRPr="006B681B">
        <w:rPr>
          <w:rFonts w:ascii="Times New Roman" w:hAnsi="Times New Roman" w:cs="Times New Roman"/>
          <w:sz w:val="26"/>
          <w:szCs w:val="26"/>
        </w:rPr>
        <w:t xml:space="preserve">ится </w:t>
      </w:r>
      <w:r w:rsidRPr="006B681B">
        <w:rPr>
          <w:rFonts w:ascii="Times New Roman" w:hAnsi="Times New Roman" w:cs="Times New Roman"/>
          <w:sz w:val="26"/>
          <w:szCs w:val="26"/>
        </w:rPr>
        <w:t xml:space="preserve">работа по обеспечению доступа инвесторов к имущественным ресурсам и инженерной инфраструктуре, повышению информационной открытости. </w:t>
      </w:r>
    </w:p>
    <w:p w:rsidR="004418FC" w:rsidRPr="006B681B" w:rsidRDefault="00EC44DE"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На период 2014-2016 годов у</w:t>
      </w:r>
      <w:r w:rsidR="004418FC" w:rsidRPr="006B681B">
        <w:rPr>
          <w:rFonts w:ascii="Times New Roman" w:hAnsi="Times New Roman" w:cs="Times New Roman"/>
          <w:sz w:val="26"/>
          <w:szCs w:val="26"/>
        </w:rPr>
        <w:t>тверждён план-график проведения аукционов по продаже и (или) предоставлению в аренду 21 земельного участка для жилищного строительства в городе Когалыме</w:t>
      </w:r>
      <w:r w:rsidRPr="006B681B">
        <w:rPr>
          <w:rFonts w:ascii="Times New Roman" w:hAnsi="Times New Roman" w:cs="Times New Roman"/>
          <w:sz w:val="26"/>
          <w:szCs w:val="26"/>
        </w:rPr>
        <w:t>.</w:t>
      </w:r>
      <w:r w:rsidR="004418FC" w:rsidRPr="006B681B">
        <w:rPr>
          <w:rFonts w:ascii="Times New Roman" w:hAnsi="Times New Roman" w:cs="Times New Roman"/>
          <w:sz w:val="26"/>
          <w:szCs w:val="26"/>
        </w:rPr>
        <w:t xml:space="preserve"> Также утверждены перечень сформированных земельных участков для строительства (инвестиционные площадки) в городе Когалыме и график проведения конкурсных процедур по передаче в аренду и (или) продаже данных земельных участков. </w:t>
      </w:r>
      <w:r w:rsidR="00CF7ABD" w:rsidRPr="006B681B">
        <w:rPr>
          <w:rFonts w:ascii="Times New Roman" w:hAnsi="Times New Roman" w:cs="Times New Roman"/>
          <w:sz w:val="26"/>
          <w:szCs w:val="26"/>
        </w:rPr>
        <w:t xml:space="preserve">Утвержден план-график проведения аукционов по продаже и (или) предоставлению в аренду земельных участков, предназначенных для реализации инвестиционных проектов на 2015 год и плановый период 2016-2017 годов в городе Когалыме. </w:t>
      </w:r>
      <w:r w:rsidR="004418FC" w:rsidRPr="006B681B">
        <w:rPr>
          <w:rFonts w:ascii="Times New Roman" w:hAnsi="Times New Roman" w:cs="Times New Roman"/>
          <w:sz w:val="26"/>
          <w:szCs w:val="26"/>
        </w:rPr>
        <w:t xml:space="preserve">Инвестиционные площадки предназначены для строительства производственных объектов, сервисных центров, перерабатывающего комплекса резиносодержащих изделий. </w:t>
      </w:r>
    </w:p>
    <w:p w:rsidR="001E1284" w:rsidRDefault="001E1284" w:rsidP="0022054C">
      <w:pPr>
        <w:pStyle w:val="1"/>
        <w:spacing w:before="0" w:line="240" w:lineRule="auto"/>
        <w:jc w:val="center"/>
        <w:rPr>
          <w:rFonts w:ascii="Times New Roman" w:hAnsi="Times New Roman" w:cs="Times New Roman"/>
          <w:b/>
          <w:color w:val="auto"/>
          <w:sz w:val="26"/>
          <w:szCs w:val="26"/>
        </w:rPr>
      </w:pPr>
      <w:bookmarkStart w:id="4" w:name="_Toc435801066"/>
    </w:p>
    <w:p w:rsidR="00F678C3" w:rsidRPr="006B681B" w:rsidRDefault="00F678C3" w:rsidP="0022054C">
      <w:pPr>
        <w:pStyle w:val="1"/>
        <w:spacing w:before="0" w:line="240" w:lineRule="auto"/>
        <w:jc w:val="center"/>
        <w:rPr>
          <w:rFonts w:ascii="Times New Roman" w:hAnsi="Times New Roman" w:cs="Times New Roman"/>
          <w:b/>
          <w:color w:val="auto"/>
          <w:sz w:val="26"/>
          <w:szCs w:val="26"/>
        </w:rPr>
      </w:pPr>
      <w:r w:rsidRPr="006B681B">
        <w:rPr>
          <w:rFonts w:ascii="Times New Roman" w:hAnsi="Times New Roman" w:cs="Times New Roman"/>
          <w:b/>
          <w:color w:val="auto"/>
          <w:sz w:val="26"/>
          <w:szCs w:val="26"/>
        </w:rPr>
        <w:t xml:space="preserve">3. </w:t>
      </w:r>
      <w:r w:rsidR="007813AE" w:rsidRPr="006B681B">
        <w:rPr>
          <w:rFonts w:ascii="Times New Roman" w:hAnsi="Times New Roman" w:cs="Times New Roman"/>
          <w:b/>
          <w:color w:val="auto"/>
          <w:sz w:val="26"/>
          <w:szCs w:val="26"/>
        </w:rPr>
        <w:t>Строительство</w:t>
      </w:r>
      <w:bookmarkEnd w:id="4"/>
    </w:p>
    <w:p w:rsidR="00F678C3" w:rsidRPr="006B681B" w:rsidRDefault="00F678C3" w:rsidP="0022054C">
      <w:pPr>
        <w:spacing w:after="0" w:line="240" w:lineRule="auto"/>
        <w:ind w:firstLine="709"/>
        <w:jc w:val="center"/>
        <w:rPr>
          <w:rFonts w:ascii="Times New Roman" w:hAnsi="Times New Roman" w:cs="Times New Roman"/>
          <w:b/>
          <w:sz w:val="26"/>
          <w:szCs w:val="26"/>
        </w:rPr>
      </w:pPr>
    </w:p>
    <w:p w:rsidR="00F05A30" w:rsidRPr="006B681B" w:rsidRDefault="00F05A3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Темп роста объема работ, выполненных по виду деятельности «Строительство», в 201</w:t>
      </w:r>
      <w:r w:rsidR="00CC059E" w:rsidRPr="006B681B">
        <w:rPr>
          <w:rFonts w:ascii="Times New Roman" w:hAnsi="Times New Roman" w:cs="Times New Roman"/>
          <w:sz w:val="26"/>
          <w:szCs w:val="26"/>
        </w:rPr>
        <w:t>5</w:t>
      </w:r>
      <w:r w:rsidRPr="006B681B">
        <w:rPr>
          <w:rFonts w:ascii="Times New Roman" w:hAnsi="Times New Roman" w:cs="Times New Roman"/>
          <w:sz w:val="26"/>
          <w:szCs w:val="26"/>
        </w:rPr>
        <w:t xml:space="preserve"> году ожидается на уровне </w:t>
      </w:r>
      <w:r w:rsidR="003D2EE7" w:rsidRPr="006B681B">
        <w:rPr>
          <w:rFonts w:ascii="Times New Roman" w:hAnsi="Times New Roman" w:cs="Times New Roman"/>
          <w:sz w:val="26"/>
          <w:szCs w:val="26"/>
        </w:rPr>
        <w:t>54,0</w:t>
      </w:r>
      <w:r w:rsidRPr="006B681B">
        <w:rPr>
          <w:rFonts w:ascii="Times New Roman" w:hAnsi="Times New Roman" w:cs="Times New Roman"/>
          <w:sz w:val="26"/>
          <w:szCs w:val="26"/>
        </w:rPr>
        <w:t>% к показателю 201</w:t>
      </w:r>
      <w:r w:rsidR="00CC059E" w:rsidRPr="006B681B">
        <w:rPr>
          <w:rFonts w:ascii="Times New Roman" w:hAnsi="Times New Roman" w:cs="Times New Roman"/>
          <w:sz w:val="26"/>
          <w:szCs w:val="26"/>
        </w:rPr>
        <w:t>4</w:t>
      </w:r>
      <w:r w:rsidRPr="006B681B">
        <w:rPr>
          <w:rFonts w:ascii="Times New Roman" w:hAnsi="Times New Roman" w:cs="Times New Roman"/>
          <w:sz w:val="26"/>
          <w:szCs w:val="26"/>
        </w:rPr>
        <w:t xml:space="preserve"> года, что в суммарном выражении составит </w:t>
      </w:r>
      <w:r w:rsidR="003D2EE7" w:rsidRPr="006B681B">
        <w:rPr>
          <w:rFonts w:ascii="Times New Roman" w:hAnsi="Times New Roman" w:cs="Times New Roman"/>
          <w:sz w:val="26"/>
          <w:szCs w:val="26"/>
        </w:rPr>
        <w:t>7 495,2</w:t>
      </w:r>
      <w:r w:rsidRPr="006B681B">
        <w:rPr>
          <w:rFonts w:ascii="Times New Roman" w:hAnsi="Times New Roman" w:cs="Times New Roman"/>
          <w:sz w:val="26"/>
          <w:szCs w:val="26"/>
        </w:rPr>
        <w:t xml:space="preserve"> м</w:t>
      </w:r>
      <w:r w:rsidR="00202135" w:rsidRPr="006B681B">
        <w:rPr>
          <w:rFonts w:ascii="Times New Roman" w:hAnsi="Times New Roman" w:cs="Times New Roman"/>
          <w:sz w:val="26"/>
          <w:szCs w:val="26"/>
        </w:rPr>
        <w:t>лн.</w:t>
      </w:r>
      <w:r w:rsidRPr="006B681B">
        <w:rPr>
          <w:rFonts w:ascii="Times New Roman" w:hAnsi="Times New Roman" w:cs="Times New Roman"/>
          <w:sz w:val="26"/>
          <w:szCs w:val="26"/>
        </w:rPr>
        <w:t xml:space="preserve"> рублей.</w:t>
      </w:r>
      <w:r w:rsidR="005B0EFE" w:rsidRPr="006B681B">
        <w:rPr>
          <w:rFonts w:ascii="Times New Roman" w:hAnsi="Times New Roman" w:cs="Times New Roman"/>
          <w:sz w:val="26"/>
          <w:szCs w:val="26"/>
        </w:rPr>
        <w:t xml:space="preserve"> </w:t>
      </w:r>
      <w:r w:rsidR="00856720" w:rsidRPr="006B681B">
        <w:rPr>
          <w:rFonts w:ascii="Times New Roman" w:hAnsi="Times New Roman" w:cs="Times New Roman"/>
          <w:sz w:val="26"/>
          <w:szCs w:val="26"/>
        </w:rPr>
        <w:t>По данным предприятий, оказывающих услуги по</w:t>
      </w:r>
      <w:r w:rsidR="005B0EFE" w:rsidRPr="006B681B">
        <w:rPr>
          <w:rFonts w:ascii="Times New Roman" w:hAnsi="Times New Roman" w:cs="Times New Roman"/>
          <w:sz w:val="26"/>
          <w:szCs w:val="26"/>
        </w:rPr>
        <w:t xml:space="preserve"> виду деятельности </w:t>
      </w:r>
      <w:r w:rsidR="00856720" w:rsidRPr="006B681B">
        <w:rPr>
          <w:rFonts w:ascii="Times New Roman" w:hAnsi="Times New Roman" w:cs="Times New Roman"/>
          <w:sz w:val="26"/>
          <w:szCs w:val="26"/>
        </w:rPr>
        <w:t xml:space="preserve">«Строительство» </w:t>
      </w:r>
      <w:r w:rsidR="005B0EFE" w:rsidRPr="006B681B">
        <w:rPr>
          <w:rFonts w:ascii="Times New Roman" w:hAnsi="Times New Roman" w:cs="Times New Roman"/>
          <w:sz w:val="26"/>
          <w:szCs w:val="26"/>
        </w:rPr>
        <w:t xml:space="preserve">в 2015 году по отношению к 2014 году </w:t>
      </w:r>
      <w:r w:rsidR="00856720" w:rsidRPr="006B681B">
        <w:rPr>
          <w:rFonts w:ascii="Times New Roman" w:hAnsi="Times New Roman" w:cs="Times New Roman"/>
          <w:sz w:val="26"/>
          <w:szCs w:val="26"/>
        </w:rPr>
        <w:t xml:space="preserve">значительное снижение объемов </w:t>
      </w:r>
      <w:r w:rsidR="005B0EFE" w:rsidRPr="006B681B">
        <w:rPr>
          <w:rFonts w:ascii="Times New Roman" w:hAnsi="Times New Roman" w:cs="Times New Roman"/>
          <w:sz w:val="26"/>
          <w:szCs w:val="26"/>
        </w:rPr>
        <w:t>связано с</w:t>
      </w:r>
      <w:r w:rsidR="005B374D" w:rsidRPr="006B681B">
        <w:rPr>
          <w:rFonts w:ascii="Times New Roman" w:hAnsi="Times New Roman" w:cs="Times New Roman"/>
          <w:sz w:val="26"/>
          <w:szCs w:val="26"/>
        </w:rPr>
        <w:t xml:space="preserve">о снижением объемов </w:t>
      </w:r>
      <w:r w:rsidR="00856720" w:rsidRPr="006B681B">
        <w:rPr>
          <w:rFonts w:ascii="Times New Roman" w:hAnsi="Times New Roman" w:cs="Times New Roman"/>
          <w:sz w:val="26"/>
          <w:szCs w:val="26"/>
        </w:rPr>
        <w:t>Заказчик</w:t>
      </w:r>
      <w:r w:rsidR="00155C57">
        <w:rPr>
          <w:rFonts w:ascii="Times New Roman" w:hAnsi="Times New Roman" w:cs="Times New Roman"/>
          <w:sz w:val="26"/>
          <w:szCs w:val="26"/>
        </w:rPr>
        <w:t>а</w:t>
      </w:r>
      <w:r w:rsidR="00856720" w:rsidRPr="006B681B">
        <w:rPr>
          <w:rFonts w:ascii="Times New Roman" w:hAnsi="Times New Roman" w:cs="Times New Roman"/>
          <w:sz w:val="26"/>
          <w:szCs w:val="26"/>
        </w:rPr>
        <w:t>м</w:t>
      </w:r>
      <w:r w:rsidR="00807234">
        <w:rPr>
          <w:rFonts w:ascii="Times New Roman" w:hAnsi="Times New Roman" w:cs="Times New Roman"/>
          <w:sz w:val="26"/>
          <w:szCs w:val="26"/>
        </w:rPr>
        <w:t>и</w:t>
      </w:r>
      <w:r w:rsidR="005B374D" w:rsidRPr="006B681B">
        <w:rPr>
          <w:rFonts w:ascii="Times New Roman" w:hAnsi="Times New Roman" w:cs="Times New Roman"/>
          <w:sz w:val="26"/>
          <w:szCs w:val="26"/>
        </w:rPr>
        <w:t>.</w:t>
      </w:r>
    </w:p>
    <w:p w:rsidR="00F05A30" w:rsidRPr="006B681B" w:rsidRDefault="00F05A3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дальнейшем прогнозируется положительная динамика роста объемов работ и в 201</w:t>
      </w:r>
      <w:r w:rsidR="00CC059E" w:rsidRPr="006B681B">
        <w:rPr>
          <w:rFonts w:ascii="Times New Roman" w:hAnsi="Times New Roman" w:cs="Times New Roman"/>
          <w:sz w:val="26"/>
          <w:szCs w:val="26"/>
        </w:rPr>
        <w:t>8</w:t>
      </w:r>
      <w:r w:rsidRPr="006B681B">
        <w:rPr>
          <w:rFonts w:ascii="Times New Roman" w:hAnsi="Times New Roman" w:cs="Times New Roman"/>
          <w:sz w:val="26"/>
          <w:szCs w:val="26"/>
        </w:rPr>
        <w:t xml:space="preserve"> году объем выполненных работ по виду деятельности «Строительство» составит </w:t>
      </w:r>
      <w:r w:rsidR="00C91A7B" w:rsidRPr="006B681B">
        <w:rPr>
          <w:rFonts w:ascii="Times New Roman" w:hAnsi="Times New Roman" w:cs="Times New Roman"/>
          <w:sz w:val="26"/>
          <w:szCs w:val="26"/>
        </w:rPr>
        <w:t>9 191,1</w:t>
      </w:r>
      <w:r w:rsidRPr="006B681B">
        <w:rPr>
          <w:rFonts w:ascii="Times New Roman" w:hAnsi="Times New Roman" w:cs="Times New Roman"/>
          <w:sz w:val="26"/>
          <w:szCs w:val="26"/>
        </w:rPr>
        <w:t xml:space="preserve"> мл</w:t>
      </w:r>
      <w:r w:rsidR="00202135" w:rsidRPr="006B681B">
        <w:rPr>
          <w:rFonts w:ascii="Times New Roman" w:hAnsi="Times New Roman" w:cs="Times New Roman"/>
          <w:sz w:val="26"/>
          <w:szCs w:val="26"/>
        </w:rPr>
        <w:t>н. рублей.</w:t>
      </w:r>
    </w:p>
    <w:p w:rsidR="005E609D" w:rsidRPr="006B681B" w:rsidRDefault="005E609D" w:rsidP="0022054C">
      <w:pPr>
        <w:autoSpaceDE w:val="0"/>
        <w:autoSpaceDN w:val="0"/>
        <w:adjustRightInd w:val="0"/>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2015 году планируется ввести в эксплуатацию 6 жилых домов общей площадью 21,</w:t>
      </w:r>
      <w:r w:rsidR="00185930" w:rsidRPr="006B681B">
        <w:rPr>
          <w:rFonts w:ascii="Times New Roman" w:hAnsi="Times New Roman" w:cs="Times New Roman"/>
          <w:sz w:val="26"/>
          <w:szCs w:val="26"/>
        </w:rPr>
        <w:t>61</w:t>
      </w:r>
      <w:r w:rsidRPr="006B681B">
        <w:rPr>
          <w:rFonts w:ascii="Times New Roman" w:hAnsi="Times New Roman" w:cs="Times New Roman"/>
          <w:sz w:val="26"/>
          <w:szCs w:val="26"/>
        </w:rPr>
        <w:t xml:space="preserve"> тыс. кв. м, (2014 год – 15,06 тыс. кв.м.). В целом, за период 2016-2018 годов, планируется построить – 70,97 тыс. кв. м. жилья</w:t>
      </w:r>
      <w:r w:rsidR="00185930" w:rsidRPr="006B681B">
        <w:rPr>
          <w:rFonts w:ascii="Times New Roman" w:hAnsi="Times New Roman" w:cs="Times New Roman"/>
          <w:sz w:val="26"/>
          <w:szCs w:val="26"/>
        </w:rPr>
        <w:t xml:space="preserve"> по второму варианту</w:t>
      </w:r>
      <w:r w:rsidRPr="006B681B">
        <w:rPr>
          <w:rFonts w:ascii="Times New Roman" w:hAnsi="Times New Roman" w:cs="Times New Roman"/>
          <w:sz w:val="26"/>
          <w:szCs w:val="26"/>
        </w:rPr>
        <w:t>.</w:t>
      </w:r>
    </w:p>
    <w:p w:rsidR="009C6C20" w:rsidRPr="006B681B" w:rsidRDefault="009C6C20" w:rsidP="0022054C">
      <w:pPr>
        <w:spacing w:after="0" w:line="240" w:lineRule="auto"/>
        <w:ind w:firstLine="705"/>
        <w:jc w:val="both"/>
        <w:rPr>
          <w:rFonts w:ascii="Times New Roman" w:hAnsi="Times New Roman" w:cs="Times New Roman"/>
          <w:sz w:val="26"/>
          <w:szCs w:val="26"/>
        </w:rPr>
      </w:pPr>
      <w:r w:rsidRPr="006B681B">
        <w:rPr>
          <w:rFonts w:ascii="Times New Roman" w:hAnsi="Times New Roman" w:cs="Times New Roman"/>
          <w:sz w:val="26"/>
          <w:szCs w:val="26"/>
        </w:rPr>
        <w:t xml:space="preserve">На востребованном рынке в сфере жилищного строительства в городе Когалыме продолжили свою работу: </w:t>
      </w:r>
    </w:p>
    <w:p w:rsidR="009C6C20" w:rsidRPr="006B681B" w:rsidRDefault="009C6C20" w:rsidP="0022054C">
      <w:pPr>
        <w:spacing w:after="0" w:line="240" w:lineRule="auto"/>
        <w:ind w:firstLine="705"/>
        <w:jc w:val="both"/>
        <w:rPr>
          <w:rFonts w:ascii="Times New Roman" w:hAnsi="Times New Roman" w:cs="Times New Roman"/>
          <w:sz w:val="26"/>
          <w:szCs w:val="26"/>
        </w:rPr>
      </w:pPr>
      <w:r w:rsidRPr="006B681B">
        <w:rPr>
          <w:rFonts w:ascii="Times New Roman" w:hAnsi="Times New Roman" w:cs="Times New Roman"/>
          <w:sz w:val="26"/>
          <w:szCs w:val="26"/>
        </w:rPr>
        <w:t>- постоянный многолетний партнёр – общество с ограниченной ответственностью «Градэкс», г. Санкт-Петербург;</w:t>
      </w:r>
    </w:p>
    <w:p w:rsidR="009C6C20" w:rsidRPr="006B681B" w:rsidRDefault="009C6C20" w:rsidP="0022054C">
      <w:pPr>
        <w:spacing w:after="0" w:line="240" w:lineRule="auto"/>
        <w:ind w:firstLine="705"/>
        <w:jc w:val="both"/>
        <w:rPr>
          <w:rFonts w:ascii="Times New Roman" w:hAnsi="Times New Roman" w:cs="Times New Roman"/>
          <w:sz w:val="26"/>
          <w:szCs w:val="26"/>
        </w:rPr>
      </w:pPr>
      <w:r w:rsidRPr="006B681B">
        <w:rPr>
          <w:rFonts w:ascii="Times New Roman" w:hAnsi="Times New Roman" w:cs="Times New Roman"/>
          <w:sz w:val="26"/>
          <w:szCs w:val="26"/>
        </w:rPr>
        <w:t>- общество с ограниченной ответственностью «СиГруппУрал», г.Озёрск;</w:t>
      </w:r>
    </w:p>
    <w:p w:rsidR="009C6C20" w:rsidRPr="006B681B" w:rsidRDefault="009C6C20" w:rsidP="0022054C">
      <w:pPr>
        <w:spacing w:after="0" w:line="240" w:lineRule="auto"/>
        <w:ind w:firstLine="705"/>
        <w:jc w:val="both"/>
        <w:rPr>
          <w:rFonts w:ascii="Times New Roman" w:hAnsi="Times New Roman" w:cs="Times New Roman"/>
          <w:sz w:val="26"/>
          <w:szCs w:val="26"/>
        </w:rPr>
      </w:pPr>
      <w:r w:rsidRPr="006B681B">
        <w:rPr>
          <w:rFonts w:ascii="Times New Roman" w:hAnsi="Times New Roman" w:cs="Times New Roman"/>
          <w:sz w:val="26"/>
          <w:szCs w:val="26"/>
        </w:rPr>
        <w:t>- общество с ограниченной ответственностью «Теплострой», г. Когалым.</w:t>
      </w:r>
    </w:p>
    <w:p w:rsidR="005E609D" w:rsidRPr="006B681B" w:rsidRDefault="005E609D" w:rsidP="0022054C">
      <w:pPr>
        <w:autoSpaceDE w:val="0"/>
        <w:autoSpaceDN w:val="0"/>
        <w:adjustRightInd w:val="0"/>
        <w:spacing w:after="0" w:line="240" w:lineRule="auto"/>
        <w:ind w:firstLine="709"/>
        <w:jc w:val="center"/>
        <w:rPr>
          <w:rFonts w:ascii="Times New Roman" w:hAnsi="Times New Roman" w:cs="Times New Roman"/>
          <w:sz w:val="26"/>
          <w:szCs w:val="26"/>
        </w:rPr>
      </w:pPr>
    </w:p>
    <w:p w:rsidR="005E609D" w:rsidRPr="006B681B" w:rsidRDefault="005E609D" w:rsidP="0022054C">
      <w:pPr>
        <w:autoSpaceDE w:val="0"/>
        <w:autoSpaceDN w:val="0"/>
        <w:adjustRightInd w:val="0"/>
        <w:spacing w:after="0" w:line="240" w:lineRule="auto"/>
        <w:ind w:firstLine="709"/>
        <w:jc w:val="center"/>
        <w:rPr>
          <w:rFonts w:ascii="Times New Roman" w:hAnsi="Times New Roman" w:cs="Times New Roman"/>
          <w:sz w:val="26"/>
          <w:szCs w:val="26"/>
        </w:rPr>
      </w:pPr>
      <w:r w:rsidRPr="006B681B">
        <w:rPr>
          <w:rFonts w:ascii="Times New Roman" w:hAnsi="Times New Roman" w:cs="Times New Roman"/>
          <w:sz w:val="26"/>
          <w:szCs w:val="26"/>
        </w:rPr>
        <w:t>Ввод в действие жилых домов:</w:t>
      </w:r>
    </w:p>
    <w:tbl>
      <w:tblPr>
        <w:tblStyle w:val="-2"/>
        <w:tblW w:w="10085" w:type="dxa"/>
        <w:tblLayout w:type="fixed"/>
        <w:tblLook w:val="04A0" w:firstRow="1" w:lastRow="0" w:firstColumn="1" w:lastColumn="0" w:noHBand="0" w:noVBand="1"/>
      </w:tblPr>
      <w:tblGrid>
        <w:gridCol w:w="4841"/>
        <w:gridCol w:w="1276"/>
        <w:gridCol w:w="1417"/>
        <w:gridCol w:w="851"/>
        <w:gridCol w:w="850"/>
        <w:gridCol w:w="850"/>
      </w:tblGrid>
      <w:tr w:rsidR="00B043D7" w:rsidRPr="006B681B" w:rsidTr="00B043D7">
        <w:trPr>
          <w:cnfStyle w:val="100000000000" w:firstRow="1" w:lastRow="0" w:firstColumn="0" w:lastColumn="0" w:oddVBand="0" w:evenVBand="0" w:oddHBand="0" w:evenHBand="0" w:firstRowFirstColumn="0" w:firstRowLastColumn="0" w:lastRowFirstColumn="0" w:lastRowLastColumn="0"/>
          <w:trHeight w:val="285"/>
        </w:trPr>
        <w:tc>
          <w:tcPr>
            <w:tcW w:w="4781" w:type="dxa"/>
            <w:vMerge w:val="restart"/>
            <w:shd w:val="clear" w:color="auto" w:fill="DBE5F1" w:themeFill="accent1" w:themeFillTint="33"/>
          </w:tcPr>
          <w:p w:rsidR="005E609D" w:rsidRPr="006B681B" w:rsidRDefault="005E609D" w:rsidP="0022054C">
            <w:pPr>
              <w:autoSpaceDE w:val="0"/>
              <w:autoSpaceDN w:val="0"/>
              <w:adjustRightInd w:val="0"/>
              <w:spacing w:after="0" w:line="240" w:lineRule="auto"/>
              <w:jc w:val="both"/>
              <w:rPr>
                <w:rFonts w:ascii="Times New Roman" w:hAnsi="Times New Roman" w:cs="Times New Roman"/>
                <w:sz w:val="24"/>
                <w:szCs w:val="24"/>
              </w:rPr>
            </w:pPr>
          </w:p>
        </w:tc>
        <w:tc>
          <w:tcPr>
            <w:tcW w:w="1236" w:type="dxa"/>
            <w:vMerge w:val="restart"/>
          </w:tcPr>
          <w:p w:rsidR="005E609D" w:rsidRPr="006B681B" w:rsidRDefault="005E609D" w:rsidP="0022054C">
            <w:pPr>
              <w:autoSpaceDE w:val="0"/>
              <w:autoSpaceDN w:val="0"/>
              <w:adjustRightInd w:val="0"/>
              <w:spacing w:after="0" w:line="240" w:lineRule="auto"/>
              <w:jc w:val="center"/>
              <w:rPr>
                <w:rFonts w:ascii="Times New Roman" w:hAnsi="Times New Roman" w:cs="Times New Roman"/>
                <w:b/>
                <w:sz w:val="24"/>
                <w:szCs w:val="24"/>
              </w:rPr>
            </w:pPr>
            <w:r w:rsidRPr="006B681B">
              <w:rPr>
                <w:rFonts w:ascii="Times New Roman" w:hAnsi="Times New Roman" w:cs="Times New Roman"/>
                <w:b/>
                <w:sz w:val="24"/>
                <w:szCs w:val="24"/>
              </w:rPr>
              <w:t>2014 год - отчет</w:t>
            </w:r>
          </w:p>
        </w:tc>
        <w:tc>
          <w:tcPr>
            <w:tcW w:w="1377" w:type="dxa"/>
            <w:vMerge w:val="restart"/>
          </w:tcPr>
          <w:p w:rsidR="005E609D" w:rsidRPr="006B681B" w:rsidRDefault="005E609D" w:rsidP="0022054C">
            <w:pPr>
              <w:autoSpaceDE w:val="0"/>
              <w:autoSpaceDN w:val="0"/>
              <w:adjustRightInd w:val="0"/>
              <w:spacing w:after="0" w:line="240" w:lineRule="auto"/>
              <w:jc w:val="center"/>
              <w:rPr>
                <w:rFonts w:ascii="Times New Roman" w:hAnsi="Times New Roman" w:cs="Times New Roman"/>
                <w:b/>
                <w:sz w:val="24"/>
                <w:szCs w:val="24"/>
              </w:rPr>
            </w:pPr>
            <w:r w:rsidRPr="006B681B">
              <w:rPr>
                <w:rFonts w:ascii="Times New Roman" w:hAnsi="Times New Roman" w:cs="Times New Roman"/>
                <w:b/>
                <w:sz w:val="24"/>
                <w:szCs w:val="24"/>
              </w:rPr>
              <w:t xml:space="preserve">2015 год - </w:t>
            </w:r>
          </w:p>
          <w:p w:rsidR="005E609D" w:rsidRPr="006B681B" w:rsidRDefault="005E609D" w:rsidP="0022054C">
            <w:pPr>
              <w:autoSpaceDE w:val="0"/>
              <w:autoSpaceDN w:val="0"/>
              <w:adjustRightInd w:val="0"/>
              <w:spacing w:after="0" w:line="240" w:lineRule="auto"/>
              <w:jc w:val="center"/>
              <w:rPr>
                <w:rFonts w:ascii="Times New Roman" w:hAnsi="Times New Roman" w:cs="Times New Roman"/>
                <w:b/>
                <w:sz w:val="24"/>
                <w:szCs w:val="24"/>
              </w:rPr>
            </w:pPr>
            <w:r w:rsidRPr="006B681B">
              <w:rPr>
                <w:rFonts w:ascii="Times New Roman" w:hAnsi="Times New Roman" w:cs="Times New Roman"/>
                <w:b/>
                <w:sz w:val="24"/>
                <w:szCs w:val="24"/>
              </w:rPr>
              <w:t>оценка</w:t>
            </w:r>
          </w:p>
        </w:tc>
        <w:tc>
          <w:tcPr>
            <w:tcW w:w="2491" w:type="dxa"/>
            <w:gridSpan w:val="3"/>
            <w:tcBorders>
              <w:bottom w:val="inset" w:sz="6" w:space="0" w:color="auto"/>
            </w:tcBorders>
          </w:tcPr>
          <w:p w:rsidR="005E609D" w:rsidRPr="006B681B" w:rsidRDefault="005E609D" w:rsidP="0022054C">
            <w:pPr>
              <w:autoSpaceDE w:val="0"/>
              <w:autoSpaceDN w:val="0"/>
              <w:adjustRightInd w:val="0"/>
              <w:spacing w:after="0" w:line="240" w:lineRule="auto"/>
              <w:jc w:val="center"/>
              <w:rPr>
                <w:rFonts w:ascii="Times New Roman" w:hAnsi="Times New Roman" w:cs="Times New Roman"/>
                <w:b/>
                <w:sz w:val="24"/>
                <w:szCs w:val="24"/>
              </w:rPr>
            </w:pPr>
            <w:r w:rsidRPr="006B681B">
              <w:rPr>
                <w:rFonts w:ascii="Times New Roman" w:hAnsi="Times New Roman" w:cs="Times New Roman"/>
                <w:b/>
                <w:sz w:val="24"/>
                <w:szCs w:val="24"/>
              </w:rPr>
              <w:t>Прогноз</w:t>
            </w:r>
          </w:p>
        </w:tc>
      </w:tr>
      <w:tr w:rsidR="00B043D7" w:rsidRPr="006B681B" w:rsidTr="00B043D7">
        <w:trPr>
          <w:trHeight w:val="315"/>
        </w:trPr>
        <w:tc>
          <w:tcPr>
            <w:tcW w:w="4781" w:type="dxa"/>
            <w:vMerge/>
            <w:shd w:val="clear" w:color="auto" w:fill="DBE5F1" w:themeFill="accent1" w:themeFillTint="33"/>
          </w:tcPr>
          <w:p w:rsidR="005E609D" w:rsidRPr="006B681B" w:rsidRDefault="005E609D" w:rsidP="0022054C">
            <w:pPr>
              <w:autoSpaceDE w:val="0"/>
              <w:autoSpaceDN w:val="0"/>
              <w:adjustRightInd w:val="0"/>
              <w:spacing w:after="0" w:line="240" w:lineRule="auto"/>
              <w:jc w:val="both"/>
              <w:rPr>
                <w:rFonts w:ascii="Times New Roman" w:hAnsi="Times New Roman" w:cs="Times New Roman"/>
                <w:sz w:val="24"/>
                <w:szCs w:val="24"/>
              </w:rPr>
            </w:pPr>
          </w:p>
        </w:tc>
        <w:tc>
          <w:tcPr>
            <w:tcW w:w="1236" w:type="dxa"/>
            <w:vMerge/>
          </w:tcPr>
          <w:p w:rsidR="005E609D" w:rsidRPr="006B681B" w:rsidRDefault="005E609D" w:rsidP="0022054C">
            <w:pPr>
              <w:autoSpaceDE w:val="0"/>
              <w:autoSpaceDN w:val="0"/>
              <w:adjustRightInd w:val="0"/>
              <w:spacing w:after="0" w:line="240" w:lineRule="auto"/>
              <w:jc w:val="center"/>
              <w:rPr>
                <w:rFonts w:ascii="Times New Roman" w:hAnsi="Times New Roman" w:cs="Times New Roman"/>
                <w:b/>
                <w:sz w:val="24"/>
                <w:szCs w:val="24"/>
              </w:rPr>
            </w:pPr>
          </w:p>
        </w:tc>
        <w:tc>
          <w:tcPr>
            <w:tcW w:w="1377" w:type="dxa"/>
            <w:vMerge/>
          </w:tcPr>
          <w:p w:rsidR="005E609D" w:rsidRPr="006B681B" w:rsidRDefault="005E609D" w:rsidP="0022054C">
            <w:pPr>
              <w:autoSpaceDE w:val="0"/>
              <w:autoSpaceDN w:val="0"/>
              <w:adjustRightInd w:val="0"/>
              <w:spacing w:after="0" w:line="240" w:lineRule="auto"/>
              <w:jc w:val="center"/>
              <w:rPr>
                <w:rFonts w:ascii="Times New Roman" w:hAnsi="Times New Roman" w:cs="Times New Roman"/>
                <w:b/>
                <w:sz w:val="24"/>
                <w:szCs w:val="24"/>
              </w:rPr>
            </w:pPr>
          </w:p>
        </w:tc>
        <w:tc>
          <w:tcPr>
            <w:tcW w:w="811" w:type="dxa"/>
            <w:tcBorders>
              <w:top w:val="inset" w:sz="6" w:space="0" w:color="auto"/>
            </w:tcBorders>
          </w:tcPr>
          <w:p w:rsidR="005E609D" w:rsidRPr="006B681B" w:rsidRDefault="005E609D" w:rsidP="0022054C">
            <w:pPr>
              <w:autoSpaceDE w:val="0"/>
              <w:autoSpaceDN w:val="0"/>
              <w:adjustRightInd w:val="0"/>
              <w:spacing w:after="0" w:line="240" w:lineRule="auto"/>
              <w:jc w:val="center"/>
              <w:rPr>
                <w:rFonts w:ascii="Times New Roman" w:hAnsi="Times New Roman" w:cs="Times New Roman"/>
                <w:b/>
                <w:sz w:val="24"/>
                <w:szCs w:val="24"/>
              </w:rPr>
            </w:pPr>
            <w:r w:rsidRPr="006B681B">
              <w:rPr>
                <w:rFonts w:ascii="Times New Roman" w:hAnsi="Times New Roman" w:cs="Times New Roman"/>
                <w:b/>
                <w:sz w:val="24"/>
                <w:szCs w:val="24"/>
              </w:rPr>
              <w:t>2016</w:t>
            </w:r>
          </w:p>
        </w:tc>
        <w:tc>
          <w:tcPr>
            <w:tcW w:w="810" w:type="dxa"/>
            <w:tcBorders>
              <w:top w:val="inset" w:sz="6" w:space="0" w:color="auto"/>
            </w:tcBorders>
          </w:tcPr>
          <w:p w:rsidR="005E609D" w:rsidRPr="006B681B" w:rsidRDefault="005E609D" w:rsidP="0022054C">
            <w:pPr>
              <w:autoSpaceDE w:val="0"/>
              <w:autoSpaceDN w:val="0"/>
              <w:adjustRightInd w:val="0"/>
              <w:spacing w:after="0" w:line="240" w:lineRule="auto"/>
              <w:jc w:val="center"/>
              <w:rPr>
                <w:rFonts w:ascii="Times New Roman" w:hAnsi="Times New Roman" w:cs="Times New Roman"/>
                <w:b/>
                <w:sz w:val="24"/>
                <w:szCs w:val="24"/>
              </w:rPr>
            </w:pPr>
            <w:r w:rsidRPr="006B681B">
              <w:rPr>
                <w:rFonts w:ascii="Times New Roman" w:hAnsi="Times New Roman" w:cs="Times New Roman"/>
                <w:b/>
                <w:sz w:val="24"/>
                <w:szCs w:val="24"/>
              </w:rPr>
              <w:t>2017</w:t>
            </w:r>
          </w:p>
        </w:tc>
        <w:tc>
          <w:tcPr>
            <w:tcW w:w="790" w:type="dxa"/>
            <w:tcBorders>
              <w:top w:val="inset" w:sz="6" w:space="0" w:color="auto"/>
            </w:tcBorders>
          </w:tcPr>
          <w:p w:rsidR="005E609D" w:rsidRPr="006B681B" w:rsidRDefault="005E609D" w:rsidP="0022054C">
            <w:pPr>
              <w:autoSpaceDE w:val="0"/>
              <w:autoSpaceDN w:val="0"/>
              <w:adjustRightInd w:val="0"/>
              <w:spacing w:after="0" w:line="240" w:lineRule="auto"/>
              <w:jc w:val="center"/>
              <w:rPr>
                <w:rFonts w:ascii="Times New Roman" w:hAnsi="Times New Roman" w:cs="Times New Roman"/>
                <w:b/>
                <w:sz w:val="24"/>
                <w:szCs w:val="24"/>
              </w:rPr>
            </w:pPr>
            <w:r w:rsidRPr="006B681B">
              <w:rPr>
                <w:rFonts w:ascii="Times New Roman" w:hAnsi="Times New Roman" w:cs="Times New Roman"/>
                <w:b/>
                <w:sz w:val="24"/>
                <w:szCs w:val="24"/>
              </w:rPr>
              <w:t>2018</w:t>
            </w:r>
          </w:p>
        </w:tc>
      </w:tr>
      <w:tr w:rsidR="00B043D7" w:rsidRPr="006B681B" w:rsidTr="00B043D7">
        <w:tc>
          <w:tcPr>
            <w:tcW w:w="4781" w:type="dxa"/>
            <w:vAlign w:val="center"/>
          </w:tcPr>
          <w:p w:rsidR="005E609D" w:rsidRPr="006B681B" w:rsidRDefault="005E609D" w:rsidP="0022054C">
            <w:pPr>
              <w:autoSpaceDE w:val="0"/>
              <w:autoSpaceDN w:val="0"/>
              <w:adjustRightInd w:val="0"/>
              <w:spacing w:after="0" w:line="240" w:lineRule="auto"/>
              <w:jc w:val="center"/>
              <w:rPr>
                <w:rFonts w:ascii="Times New Roman" w:hAnsi="Times New Roman" w:cs="Times New Roman"/>
                <w:sz w:val="24"/>
                <w:szCs w:val="24"/>
              </w:rPr>
            </w:pPr>
            <w:r w:rsidRPr="006B681B">
              <w:rPr>
                <w:rFonts w:ascii="Times New Roman" w:hAnsi="Times New Roman" w:cs="Times New Roman"/>
                <w:sz w:val="24"/>
                <w:szCs w:val="24"/>
              </w:rPr>
              <w:t>Жилые дома, тыс. кв. м</w:t>
            </w:r>
          </w:p>
        </w:tc>
        <w:tc>
          <w:tcPr>
            <w:tcW w:w="1236" w:type="dxa"/>
            <w:vAlign w:val="center"/>
          </w:tcPr>
          <w:p w:rsidR="005E609D" w:rsidRPr="006B681B" w:rsidRDefault="005E609D" w:rsidP="0022054C">
            <w:pPr>
              <w:autoSpaceDE w:val="0"/>
              <w:autoSpaceDN w:val="0"/>
              <w:adjustRightInd w:val="0"/>
              <w:spacing w:after="0" w:line="240" w:lineRule="auto"/>
              <w:jc w:val="center"/>
              <w:rPr>
                <w:rFonts w:ascii="Times New Roman" w:hAnsi="Times New Roman" w:cs="Times New Roman"/>
                <w:sz w:val="24"/>
                <w:szCs w:val="24"/>
              </w:rPr>
            </w:pPr>
            <w:r w:rsidRPr="006B681B">
              <w:rPr>
                <w:rFonts w:ascii="Times New Roman" w:hAnsi="Times New Roman" w:cs="Times New Roman"/>
                <w:sz w:val="24"/>
                <w:szCs w:val="24"/>
              </w:rPr>
              <w:t>15,06</w:t>
            </w:r>
          </w:p>
        </w:tc>
        <w:tc>
          <w:tcPr>
            <w:tcW w:w="1377" w:type="dxa"/>
            <w:vAlign w:val="center"/>
          </w:tcPr>
          <w:p w:rsidR="005E609D" w:rsidRPr="006B681B" w:rsidRDefault="00185930" w:rsidP="0022054C">
            <w:pPr>
              <w:autoSpaceDE w:val="0"/>
              <w:autoSpaceDN w:val="0"/>
              <w:adjustRightInd w:val="0"/>
              <w:spacing w:after="0" w:line="240" w:lineRule="auto"/>
              <w:jc w:val="center"/>
              <w:rPr>
                <w:rFonts w:ascii="Times New Roman" w:hAnsi="Times New Roman" w:cs="Times New Roman"/>
                <w:sz w:val="24"/>
                <w:szCs w:val="24"/>
              </w:rPr>
            </w:pPr>
            <w:r w:rsidRPr="006B681B">
              <w:rPr>
                <w:rFonts w:ascii="Times New Roman" w:hAnsi="Times New Roman" w:cs="Times New Roman"/>
                <w:sz w:val="24"/>
                <w:szCs w:val="24"/>
              </w:rPr>
              <w:t>21,61</w:t>
            </w:r>
          </w:p>
        </w:tc>
        <w:tc>
          <w:tcPr>
            <w:tcW w:w="811" w:type="dxa"/>
            <w:vAlign w:val="center"/>
          </w:tcPr>
          <w:p w:rsidR="005E609D" w:rsidRPr="006B681B" w:rsidRDefault="005E609D" w:rsidP="0022054C">
            <w:pPr>
              <w:autoSpaceDE w:val="0"/>
              <w:autoSpaceDN w:val="0"/>
              <w:adjustRightInd w:val="0"/>
              <w:spacing w:after="0" w:line="240" w:lineRule="auto"/>
              <w:jc w:val="center"/>
              <w:rPr>
                <w:rFonts w:ascii="Times New Roman" w:hAnsi="Times New Roman" w:cs="Times New Roman"/>
                <w:sz w:val="24"/>
                <w:szCs w:val="24"/>
              </w:rPr>
            </w:pPr>
            <w:r w:rsidRPr="006B681B">
              <w:rPr>
                <w:rFonts w:ascii="Times New Roman" w:hAnsi="Times New Roman" w:cs="Times New Roman"/>
                <w:sz w:val="24"/>
                <w:szCs w:val="24"/>
              </w:rPr>
              <w:t>22,35</w:t>
            </w:r>
          </w:p>
        </w:tc>
        <w:tc>
          <w:tcPr>
            <w:tcW w:w="810" w:type="dxa"/>
            <w:vAlign w:val="center"/>
          </w:tcPr>
          <w:p w:rsidR="005E609D" w:rsidRPr="006B681B" w:rsidRDefault="005E609D" w:rsidP="0022054C">
            <w:pPr>
              <w:autoSpaceDE w:val="0"/>
              <w:autoSpaceDN w:val="0"/>
              <w:adjustRightInd w:val="0"/>
              <w:spacing w:after="0" w:line="240" w:lineRule="auto"/>
              <w:jc w:val="center"/>
              <w:rPr>
                <w:rFonts w:ascii="Times New Roman" w:hAnsi="Times New Roman" w:cs="Times New Roman"/>
                <w:sz w:val="24"/>
                <w:szCs w:val="24"/>
              </w:rPr>
            </w:pPr>
            <w:r w:rsidRPr="006B681B">
              <w:rPr>
                <w:rFonts w:ascii="Times New Roman" w:hAnsi="Times New Roman" w:cs="Times New Roman"/>
                <w:sz w:val="24"/>
                <w:szCs w:val="24"/>
              </w:rPr>
              <w:t>23,25</w:t>
            </w:r>
          </w:p>
        </w:tc>
        <w:tc>
          <w:tcPr>
            <w:tcW w:w="790" w:type="dxa"/>
            <w:vAlign w:val="center"/>
          </w:tcPr>
          <w:p w:rsidR="005E609D" w:rsidRPr="006B681B" w:rsidRDefault="005E609D" w:rsidP="0022054C">
            <w:pPr>
              <w:autoSpaceDE w:val="0"/>
              <w:autoSpaceDN w:val="0"/>
              <w:adjustRightInd w:val="0"/>
              <w:spacing w:after="0" w:line="240" w:lineRule="auto"/>
              <w:jc w:val="center"/>
              <w:rPr>
                <w:rFonts w:ascii="Times New Roman" w:hAnsi="Times New Roman" w:cs="Times New Roman"/>
                <w:sz w:val="24"/>
                <w:szCs w:val="24"/>
              </w:rPr>
            </w:pPr>
            <w:r w:rsidRPr="006B681B">
              <w:rPr>
                <w:rFonts w:ascii="Times New Roman" w:hAnsi="Times New Roman" w:cs="Times New Roman"/>
                <w:sz w:val="24"/>
                <w:szCs w:val="24"/>
              </w:rPr>
              <w:t>25,37</w:t>
            </w:r>
          </w:p>
        </w:tc>
      </w:tr>
      <w:tr w:rsidR="00B043D7" w:rsidRPr="006B681B" w:rsidTr="00B043D7">
        <w:tc>
          <w:tcPr>
            <w:tcW w:w="4781" w:type="dxa"/>
            <w:vAlign w:val="center"/>
          </w:tcPr>
          <w:p w:rsidR="008E7021" w:rsidRPr="006B681B" w:rsidRDefault="008E7021" w:rsidP="0022054C">
            <w:pPr>
              <w:autoSpaceDE w:val="0"/>
              <w:autoSpaceDN w:val="0"/>
              <w:adjustRightInd w:val="0"/>
              <w:spacing w:after="0" w:line="240" w:lineRule="auto"/>
              <w:jc w:val="center"/>
              <w:rPr>
                <w:rFonts w:ascii="Times New Roman" w:hAnsi="Times New Roman" w:cs="Times New Roman"/>
                <w:sz w:val="24"/>
                <w:szCs w:val="24"/>
              </w:rPr>
            </w:pPr>
            <w:r w:rsidRPr="006B681B">
              <w:rPr>
                <w:rFonts w:ascii="Times New Roman" w:hAnsi="Times New Roman" w:cs="Times New Roman"/>
                <w:sz w:val="24"/>
                <w:szCs w:val="24"/>
              </w:rPr>
              <w:t xml:space="preserve">Общая площадь жилых помещений, приходящаяся в среднем на одного жителя, кв.м </w:t>
            </w:r>
          </w:p>
        </w:tc>
        <w:tc>
          <w:tcPr>
            <w:tcW w:w="1236" w:type="dxa"/>
            <w:vAlign w:val="center"/>
          </w:tcPr>
          <w:p w:rsidR="008E7021" w:rsidRPr="006B681B" w:rsidRDefault="009C6C20" w:rsidP="0022054C">
            <w:pPr>
              <w:autoSpaceDE w:val="0"/>
              <w:autoSpaceDN w:val="0"/>
              <w:adjustRightInd w:val="0"/>
              <w:spacing w:after="0" w:line="240" w:lineRule="auto"/>
              <w:jc w:val="center"/>
              <w:rPr>
                <w:rFonts w:ascii="Times New Roman" w:hAnsi="Times New Roman" w:cs="Times New Roman"/>
                <w:sz w:val="24"/>
                <w:szCs w:val="24"/>
              </w:rPr>
            </w:pPr>
            <w:r w:rsidRPr="006B681B">
              <w:rPr>
                <w:rFonts w:ascii="Times New Roman" w:hAnsi="Times New Roman" w:cs="Times New Roman"/>
                <w:sz w:val="24"/>
                <w:szCs w:val="24"/>
              </w:rPr>
              <w:t>16,5</w:t>
            </w:r>
          </w:p>
        </w:tc>
        <w:tc>
          <w:tcPr>
            <w:tcW w:w="1377" w:type="dxa"/>
            <w:vAlign w:val="center"/>
          </w:tcPr>
          <w:p w:rsidR="008E7021" w:rsidRPr="006B681B" w:rsidRDefault="009C6C20" w:rsidP="0022054C">
            <w:pPr>
              <w:autoSpaceDE w:val="0"/>
              <w:autoSpaceDN w:val="0"/>
              <w:adjustRightInd w:val="0"/>
              <w:spacing w:after="0" w:line="240" w:lineRule="auto"/>
              <w:jc w:val="center"/>
              <w:rPr>
                <w:rFonts w:ascii="Times New Roman" w:hAnsi="Times New Roman" w:cs="Times New Roman"/>
                <w:sz w:val="24"/>
                <w:szCs w:val="24"/>
              </w:rPr>
            </w:pPr>
            <w:r w:rsidRPr="006B681B">
              <w:rPr>
                <w:rFonts w:ascii="Times New Roman" w:hAnsi="Times New Roman" w:cs="Times New Roman"/>
                <w:sz w:val="24"/>
                <w:szCs w:val="24"/>
              </w:rPr>
              <w:t>16,</w:t>
            </w:r>
            <w:r w:rsidR="00564735" w:rsidRPr="006B681B">
              <w:rPr>
                <w:rFonts w:ascii="Times New Roman" w:hAnsi="Times New Roman" w:cs="Times New Roman"/>
                <w:sz w:val="24"/>
                <w:szCs w:val="24"/>
              </w:rPr>
              <w:t>2</w:t>
            </w:r>
          </w:p>
        </w:tc>
        <w:tc>
          <w:tcPr>
            <w:tcW w:w="811" w:type="dxa"/>
            <w:vAlign w:val="center"/>
          </w:tcPr>
          <w:p w:rsidR="008E7021" w:rsidRPr="006B681B" w:rsidRDefault="009C6C20" w:rsidP="0022054C">
            <w:pPr>
              <w:autoSpaceDE w:val="0"/>
              <w:autoSpaceDN w:val="0"/>
              <w:adjustRightInd w:val="0"/>
              <w:spacing w:after="0" w:line="240" w:lineRule="auto"/>
              <w:jc w:val="center"/>
              <w:rPr>
                <w:rFonts w:ascii="Times New Roman" w:hAnsi="Times New Roman" w:cs="Times New Roman"/>
                <w:sz w:val="24"/>
                <w:szCs w:val="24"/>
              </w:rPr>
            </w:pPr>
            <w:r w:rsidRPr="006B681B">
              <w:rPr>
                <w:rFonts w:ascii="Times New Roman" w:hAnsi="Times New Roman" w:cs="Times New Roman"/>
                <w:sz w:val="24"/>
                <w:szCs w:val="24"/>
              </w:rPr>
              <w:t>16,</w:t>
            </w:r>
            <w:r w:rsidR="00564735" w:rsidRPr="006B681B">
              <w:rPr>
                <w:rFonts w:ascii="Times New Roman" w:hAnsi="Times New Roman" w:cs="Times New Roman"/>
                <w:sz w:val="24"/>
                <w:szCs w:val="24"/>
              </w:rPr>
              <w:t>2</w:t>
            </w:r>
          </w:p>
        </w:tc>
        <w:tc>
          <w:tcPr>
            <w:tcW w:w="810" w:type="dxa"/>
            <w:vAlign w:val="center"/>
          </w:tcPr>
          <w:p w:rsidR="008E7021" w:rsidRPr="006B681B" w:rsidRDefault="009C6C20" w:rsidP="0022054C">
            <w:pPr>
              <w:autoSpaceDE w:val="0"/>
              <w:autoSpaceDN w:val="0"/>
              <w:adjustRightInd w:val="0"/>
              <w:spacing w:after="0" w:line="240" w:lineRule="auto"/>
              <w:jc w:val="center"/>
              <w:rPr>
                <w:rFonts w:ascii="Times New Roman" w:hAnsi="Times New Roman" w:cs="Times New Roman"/>
                <w:sz w:val="24"/>
                <w:szCs w:val="24"/>
              </w:rPr>
            </w:pPr>
            <w:r w:rsidRPr="006B681B">
              <w:rPr>
                <w:rFonts w:ascii="Times New Roman" w:hAnsi="Times New Roman" w:cs="Times New Roman"/>
                <w:sz w:val="24"/>
                <w:szCs w:val="24"/>
              </w:rPr>
              <w:t>16,</w:t>
            </w:r>
            <w:r w:rsidR="00564735" w:rsidRPr="006B681B">
              <w:rPr>
                <w:rFonts w:ascii="Times New Roman" w:hAnsi="Times New Roman" w:cs="Times New Roman"/>
                <w:sz w:val="24"/>
                <w:szCs w:val="24"/>
              </w:rPr>
              <w:t>1</w:t>
            </w:r>
          </w:p>
        </w:tc>
        <w:tc>
          <w:tcPr>
            <w:tcW w:w="790" w:type="dxa"/>
            <w:vAlign w:val="center"/>
          </w:tcPr>
          <w:p w:rsidR="008E7021" w:rsidRPr="006B681B" w:rsidRDefault="009C6C20" w:rsidP="0022054C">
            <w:pPr>
              <w:autoSpaceDE w:val="0"/>
              <w:autoSpaceDN w:val="0"/>
              <w:adjustRightInd w:val="0"/>
              <w:spacing w:after="0" w:line="240" w:lineRule="auto"/>
              <w:jc w:val="center"/>
              <w:rPr>
                <w:rFonts w:ascii="Times New Roman" w:hAnsi="Times New Roman" w:cs="Times New Roman"/>
                <w:sz w:val="24"/>
                <w:szCs w:val="24"/>
              </w:rPr>
            </w:pPr>
            <w:r w:rsidRPr="006B681B">
              <w:rPr>
                <w:rFonts w:ascii="Times New Roman" w:hAnsi="Times New Roman" w:cs="Times New Roman"/>
                <w:sz w:val="24"/>
                <w:szCs w:val="24"/>
              </w:rPr>
              <w:t>16,</w:t>
            </w:r>
            <w:r w:rsidR="00564735" w:rsidRPr="006B681B">
              <w:rPr>
                <w:rFonts w:ascii="Times New Roman" w:hAnsi="Times New Roman" w:cs="Times New Roman"/>
                <w:sz w:val="24"/>
                <w:szCs w:val="24"/>
              </w:rPr>
              <w:t>1</w:t>
            </w:r>
          </w:p>
        </w:tc>
      </w:tr>
    </w:tbl>
    <w:p w:rsidR="00856720" w:rsidRPr="006B681B" w:rsidRDefault="00856720" w:rsidP="0022054C">
      <w:pPr>
        <w:pStyle w:val="1"/>
        <w:spacing w:before="0" w:line="240" w:lineRule="auto"/>
        <w:jc w:val="center"/>
        <w:rPr>
          <w:rFonts w:ascii="Times New Roman" w:hAnsi="Times New Roman" w:cs="Times New Roman"/>
          <w:b/>
          <w:bCs/>
          <w:color w:val="auto"/>
          <w:sz w:val="26"/>
          <w:szCs w:val="26"/>
        </w:rPr>
      </w:pPr>
    </w:p>
    <w:p w:rsidR="00F05A30" w:rsidRPr="006B681B" w:rsidRDefault="00442AEA" w:rsidP="0022054C">
      <w:pPr>
        <w:pStyle w:val="1"/>
        <w:spacing w:before="0" w:line="240" w:lineRule="auto"/>
        <w:jc w:val="center"/>
        <w:rPr>
          <w:rFonts w:ascii="Times New Roman" w:hAnsi="Times New Roman" w:cs="Times New Roman"/>
          <w:b/>
          <w:bCs/>
          <w:color w:val="auto"/>
          <w:sz w:val="26"/>
          <w:szCs w:val="26"/>
        </w:rPr>
      </w:pPr>
      <w:bookmarkStart w:id="5" w:name="_Toc435801067"/>
      <w:r w:rsidRPr="006B681B">
        <w:rPr>
          <w:rFonts w:ascii="Times New Roman" w:hAnsi="Times New Roman" w:cs="Times New Roman"/>
          <w:b/>
          <w:bCs/>
          <w:color w:val="auto"/>
          <w:sz w:val="26"/>
          <w:szCs w:val="26"/>
        </w:rPr>
        <w:t xml:space="preserve">4. </w:t>
      </w:r>
      <w:r w:rsidR="006B681B">
        <w:rPr>
          <w:rFonts w:ascii="Times New Roman" w:hAnsi="Times New Roman" w:cs="Times New Roman"/>
          <w:b/>
          <w:bCs/>
          <w:color w:val="auto"/>
          <w:sz w:val="26"/>
          <w:szCs w:val="26"/>
        </w:rPr>
        <w:t>Потребительский рынок</w:t>
      </w:r>
      <w:bookmarkEnd w:id="5"/>
    </w:p>
    <w:p w:rsidR="00856720" w:rsidRPr="006B681B" w:rsidRDefault="00856720" w:rsidP="0022054C">
      <w:pPr>
        <w:pStyle w:val="1"/>
        <w:spacing w:before="0" w:line="240" w:lineRule="auto"/>
        <w:jc w:val="center"/>
        <w:rPr>
          <w:rFonts w:ascii="Times New Roman" w:hAnsi="Times New Roman" w:cs="Times New Roman"/>
          <w:b/>
          <w:bCs/>
          <w:color w:val="auto"/>
          <w:sz w:val="26"/>
          <w:szCs w:val="26"/>
        </w:rPr>
      </w:pPr>
    </w:p>
    <w:p w:rsidR="00F05A30" w:rsidRPr="006B681B" w:rsidRDefault="009B7AD0" w:rsidP="0022054C">
      <w:pPr>
        <w:pStyle w:val="1"/>
        <w:spacing w:before="0" w:line="240" w:lineRule="auto"/>
        <w:jc w:val="center"/>
        <w:rPr>
          <w:rFonts w:ascii="Times New Roman" w:hAnsi="Times New Roman" w:cs="Times New Roman"/>
          <w:b/>
          <w:bCs/>
          <w:color w:val="auto"/>
          <w:sz w:val="26"/>
          <w:szCs w:val="26"/>
        </w:rPr>
      </w:pPr>
      <w:bookmarkStart w:id="6" w:name="_Toc435801068"/>
      <w:r w:rsidRPr="006B681B">
        <w:rPr>
          <w:rFonts w:ascii="Times New Roman" w:hAnsi="Times New Roman" w:cs="Times New Roman"/>
          <w:b/>
          <w:bCs/>
          <w:color w:val="auto"/>
          <w:sz w:val="26"/>
          <w:szCs w:val="26"/>
        </w:rPr>
        <w:t xml:space="preserve">4.1. </w:t>
      </w:r>
      <w:r w:rsidR="00F05A30" w:rsidRPr="006B681B">
        <w:rPr>
          <w:rFonts w:ascii="Times New Roman" w:hAnsi="Times New Roman" w:cs="Times New Roman"/>
          <w:b/>
          <w:bCs/>
          <w:color w:val="auto"/>
          <w:sz w:val="26"/>
          <w:szCs w:val="26"/>
        </w:rPr>
        <w:t>Розничная торговля</w:t>
      </w:r>
      <w:bookmarkEnd w:id="6"/>
    </w:p>
    <w:p w:rsidR="00F05A30" w:rsidRPr="006B681B" w:rsidRDefault="00F05A30" w:rsidP="0022054C">
      <w:pPr>
        <w:spacing w:after="0" w:line="240" w:lineRule="auto"/>
        <w:ind w:firstLine="709"/>
        <w:jc w:val="both"/>
        <w:rPr>
          <w:rFonts w:ascii="Times New Roman" w:hAnsi="Times New Roman" w:cs="Times New Roman"/>
          <w:sz w:val="26"/>
          <w:szCs w:val="26"/>
        </w:rPr>
      </w:pP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Потребительский рынок находится в непосредственной зависимости от других рынков, денежных доходов населения, регулирует товарно-денежные отношения, способствует конкурентоспособности отечественных товаров и является одним из важных секторов жизнеобеспечения города.</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В современных условиях структура и объем потребительского рынка в большей степени зависят как от организации деятельности предприятий розничной торговли, так и структуры спроса платежеспособного населения.</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Потребительский рынок включает в себя розничную торговлю, общественное питание и сферу услуг.</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Расчет показателей оборота розничной торговли и объема платных услуг населению выполнен на основе данных статистического учета, а также показателей предприятий и организаций, которые осуществляют свою деятельность в городе Когалыме.</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По итогам 2014 года оборот розничной торговли в городе составил 12 024,38 млн. рублей</w:t>
      </w:r>
      <w:r w:rsidR="002F3D5B" w:rsidRPr="006B681B">
        <w:rPr>
          <w:rFonts w:ascii="Times New Roman" w:eastAsia="Calibri" w:hAnsi="Times New Roman" w:cs="Times New Roman"/>
          <w:sz w:val="26"/>
          <w:szCs w:val="26"/>
          <w:lang w:eastAsia="ru-RU"/>
        </w:rPr>
        <w:t xml:space="preserve"> или 97,2</w:t>
      </w:r>
      <w:r w:rsidRPr="006B681B">
        <w:rPr>
          <w:rFonts w:ascii="Times New Roman" w:eastAsia="Calibri" w:hAnsi="Times New Roman" w:cs="Times New Roman"/>
          <w:sz w:val="26"/>
          <w:szCs w:val="26"/>
          <w:lang w:eastAsia="ru-RU"/>
        </w:rPr>
        <w:t xml:space="preserve">% в сопоставимых ценах к уровню 2013 года. </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Неблагоприятная экономическая ситуация, сложившаяся в конце 2014 года, оказала существенное влияние на показатели потребительского доверия и, как следствие, потребительскую активность. В 2015 году ожидается снижение оборота розничной торговли на </w:t>
      </w:r>
      <w:r w:rsidR="002F3D5B" w:rsidRPr="006B681B">
        <w:rPr>
          <w:rFonts w:ascii="Times New Roman" w:eastAsia="Calibri" w:hAnsi="Times New Roman" w:cs="Times New Roman"/>
          <w:sz w:val="26"/>
          <w:szCs w:val="26"/>
          <w:lang w:eastAsia="ru-RU"/>
        </w:rPr>
        <w:t>4,1</w:t>
      </w:r>
      <w:r w:rsidRPr="006B681B">
        <w:rPr>
          <w:rFonts w:ascii="Times New Roman" w:eastAsia="Calibri" w:hAnsi="Times New Roman" w:cs="Times New Roman"/>
          <w:sz w:val="26"/>
          <w:szCs w:val="26"/>
          <w:lang w:eastAsia="ru-RU"/>
        </w:rPr>
        <w:t>% в сопоставимых ценах к уровню 2014 года, что составит 12</w:t>
      </w:r>
      <w:r w:rsidR="002F3D5B" w:rsidRPr="006B681B">
        <w:rPr>
          <w:rFonts w:ascii="Times New Roman" w:eastAsia="Calibri" w:hAnsi="Times New Roman" w:cs="Times New Roman"/>
          <w:sz w:val="26"/>
          <w:szCs w:val="26"/>
          <w:lang w:eastAsia="ru-RU"/>
        </w:rPr>
        <w:t> 060,45</w:t>
      </w:r>
      <w:r w:rsidRPr="006B681B">
        <w:rPr>
          <w:rFonts w:ascii="Times New Roman" w:eastAsia="Calibri" w:hAnsi="Times New Roman" w:cs="Times New Roman"/>
          <w:sz w:val="26"/>
          <w:szCs w:val="26"/>
          <w:lang w:eastAsia="ru-RU"/>
        </w:rPr>
        <w:t xml:space="preserve"> млн. рублей.</w:t>
      </w:r>
    </w:p>
    <w:p w:rsidR="00D31CE4" w:rsidRPr="006B681B" w:rsidRDefault="00D31CE4"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9B7AD0" w:rsidRPr="006B681B" w:rsidRDefault="009B7AD0" w:rsidP="0022054C">
      <w:pPr>
        <w:autoSpaceDE w:val="0"/>
        <w:autoSpaceDN w:val="0"/>
        <w:adjustRightInd w:val="0"/>
        <w:spacing w:after="0" w:line="240" w:lineRule="auto"/>
        <w:jc w:val="both"/>
        <w:rPr>
          <w:rFonts w:ascii="Times New Roman" w:eastAsia="Calibri" w:hAnsi="Times New Roman" w:cs="Times New Roman"/>
          <w:sz w:val="26"/>
          <w:szCs w:val="26"/>
          <w:lang w:eastAsia="ru-RU"/>
        </w:rPr>
      </w:pPr>
      <w:r w:rsidRPr="006B681B">
        <w:rPr>
          <w:rFonts w:ascii="Times New Roman" w:hAnsi="Times New Roman" w:cs="Times New Roman"/>
          <w:noProof/>
          <w:sz w:val="26"/>
          <w:szCs w:val="26"/>
          <w:lang w:eastAsia="ru-RU"/>
        </w:rPr>
        <w:drawing>
          <wp:inline distT="0" distB="0" distL="0" distR="0" wp14:anchorId="0AD5E06E" wp14:editId="4A0FA40B">
            <wp:extent cx="6181725" cy="3646842"/>
            <wp:effectExtent l="0" t="0" r="0" b="0"/>
            <wp:docPr id="4"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1CE4" w:rsidRPr="006B681B" w:rsidRDefault="00D31CE4" w:rsidP="0022054C">
      <w:pPr>
        <w:autoSpaceDE w:val="0"/>
        <w:autoSpaceDN w:val="0"/>
        <w:adjustRightInd w:val="0"/>
        <w:spacing w:after="0" w:line="240" w:lineRule="auto"/>
        <w:jc w:val="both"/>
        <w:rPr>
          <w:rFonts w:ascii="Times New Roman" w:eastAsia="Calibri" w:hAnsi="Times New Roman" w:cs="Times New Roman"/>
          <w:sz w:val="26"/>
          <w:szCs w:val="26"/>
          <w:lang w:eastAsia="ru-RU"/>
        </w:rPr>
      </w:pP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В среднесрочной перспективе по мере роста доходов населения, снижения инфляционного давления динамика потребления населения будет восстанавливаться и к 2018 году рост оборота</w:t>
      </w:r>
      <w:r w:rsidR="00E747A4" w:rsidRPr="006B681B">
        <w:rPr>
          <w:rFonts w:ascii="Times New Roman" w:eastAsia="Calibri" w:hAnsi="Times New Roman" w:cs="Times New Roman"/>
          <w:sz w:val="26"/>
          <w:szCs w:val="26"/>
          <w:lang w:eastAsia="ru-RU"/>
        </w:rPr>
        <w:t xml:space="preserve"> розничной торговли составит 4,0</w:t>
      </w:r>
      <w:r w:rsidRPr="006B681B">
        <w:rPr>
          <w:rFonts w:ascii="Times New Roman" w:eastAsia="Calibri" w:hAnsi="Times New Roman" w:cs="Times New Roman"/>
          <w:sz w:val="26"/>
          <w:szCs w:val="26"/>
          <w:lang w:eastAsia="ru-RU"/>
        </w:rPr>
        <w:t xml:space="preserve">% в реальном выражении. </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В расчёте на душу населения оборот розничной торговли в 2015 году по оценке составит </w:t>
      </w:r>
      <w:r w:rsidR="00E747A4" w:rsidRPr="006B681B">
        <w:rPr>
          <w:rFonts w:ascii="Times New Roman" w:eastAsia="Calibri" w:hAnsi="Times New Roman" w:cs="Times New Roman"/>
          <w:sz w:val="26"/>
          <w:szCs w:val="26"/>
          <w:lang w:eastAsia="ru-RU"/>
        </w:rPr>
        <w:t>191,7</w:t>
      </w:r>
      <w:r w:rsidRPr="006B681B">
        <w:rPr>
          <w:rFonts w:ascii="Times New Roman" w:eastAsia="Calibri" w:hAnsi="Times New Roman" w:cs="Times New Roman"/>
          <w:sz w:val="26"/>
          <w:szCs w:val="26"/>
          <w:lang w:eastAsia="ru-RU"/>
        </w:rPr>
        <w:t xml:space="preserve"> тыс. рублей, с последующим ростом до </w:t>
      </w:r>
      <w:r w:rsidR="00E747A4" w:rsidRPr="006B681B">
        <w:rPr>
          <w:rFonts w:ascii="Times New Roman" w:eastAsia="Calibri" w:hAnsi="Times New Roman" w:cs="Times New Roman"/>
          <w:sz w:val="26"/>
          <w:szCs w:val="26"/>
          <w:lang w:eastAsia="ru-RU"/>
        </w:rPr>
        <w:t>211,2</w:t>
      </w:r>
      <w:r w:rsidRPr="006B681B">
        <w:rPr>
          <w:rFonts w:ascii="Times New Roman" w:eastAsia="Calibri" w:hAnsi="Times New Roman" w:cs="Times New Roman"/>
          <w:sz w:val="26"/>
          <w:szCs w:val="26"/>
          <w:lang w:eastAsia="ru-RU"/>
        </w:rPr>
        <w:t xml:space="preserve"> тыс. рублей в 2018 году.</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Структура оборота розничной торговли содержит в своем составе свыше 40% продовольственных и до 60% непродовольственных товаров, при этом доля продовольственных товаров постепенно снижается. </w:t>
      </w:r>
    </w:p>
    <w:p w:rsidR="009B7AD0" w:rsidRPr="006B681B" w:rsidRDefault="009B7AD0" w:rsidP="0022054C">
      <w:pPr>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По состоянию на 1 января 2015 года </w:t>
      </w:r>
      <w:r w:rsidR="00BD3E77" w:rsidRPr="006B681B">
        <w:rPr>
          <w:rFonts w:ascii="Times New Roman" w:eastAsia="Calibri" w:hAnsi="Times New Roman" w:cs="Times New Roman"/>
          <w:sz w:val="26"/>
          <w:szCs w:val="26"/>
          <w:lang w:eastAsia="ru-RU"/>
        </w:rPr>
        <w:t>в</w:t>
      </w:r>
      <w:r w:rsidRPr="006B681B">
        <w:rPr>
          <w:rFonts w:ascii="Times New Roman" w:eastAsia="Calibri" w:hAnsi="Times New Roman" w:cs="Times New Roman"/>
          <w:sz w:val="26"/>
          <w:szCs w:val="26"/>
          <w:lang w:eastAsia="ru-RU"/>
        </w:rPr>
        <w:t xml:space="preserve"> город</w:t>
      </w:r>
      <w:r w:rsidR="00BD3E77" w:rsidRPr="006B681B">
        <w:rPr>
          <w:rFonts w:ascii="Times New Roman" w:eastAsia="Calibri" w:hAnsi="Times New Roman" w:cs="Times New Roman"/>
          <w:sz w:val="26"/>
          <w:szCs w:val="26"/>
          <w:lang w:eastAsia="ru-RU"/>
        </w:rPr>
        <w:t>е Когалыме</w:t>
      </w:r>
      <w:r w:rsidRPr="006B681B">
        <w:rPr>
          <w:rFonts w:ascii="Times New Roman" w:eastAsia="Calibri" w:hAnsi="Times New Roman" w:cs="Times New Roman"/>
          <w:sz w:val="26"/>
          <w:szCs w:val="26"/>
          <w:lang w:eastAsia="ru-RU"/>
        </w:rPr>
        <w:t xml:space="preserve"> функционирует 103 стационарных предприятия розничной торговли, торговой площадью 22,7 тыс. кв. метров, 24 мелкорозничных торговых предприятия, торговой площадью 0,3 тыс. кв. метров и 14 аптек торговой площадью 0,5 тыс. кв. метров и торговый комплекс «Миллениум».</w:t>
      </w:r>
    </w:p>
    <w:p w:rsidR="00D92D67" w:rsidRPr="006B681B" w:rsidRDefault="009B7AD0" w:rsidP="0022054C">
      <w:pPr>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В городе Когалыме осуществляют свою деятельность магазины федерального значения – это магазин «Idei», «DNS» и салон «Евросеть». Работают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Когалыме это – «Адамас», «Сибола», универсамы «Росич». </w:t>
      </w:r>
    </w:p>
    <w:p w:rsidR="009B7AD0" w:rsidRPr="006B681B" w:rsidRDefault="009B7AD0" w:rsidP="0022054C">
      <w:pPr>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В 2014 году открыты торговый центр «Омега» общей площадь 2 377 кв. м. и торговый дом «Фламинго» общей площадью 1 281 кв. м. На базе этих объектов размещены ресторан, специализированные магазины по продаже продовольственных и непродовольственных товаров. В 2015 году начал свою работу торговый центр «Лайм» по ул. Прибалтийская, 33а, планируется открытие торгового комплекса по ул. Молодежная, 26а.</w:t>
      </w:r>
    </w:p>
    <w:p w:rsidR="009B7AD0" w:rsidRPr="006B681B" w:rsidRDefault="009B7AD0" w:rsidP="0022054C">
      <w:pPr>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Наряду с открытием крупных торговых объектов происходит сохранение продовольственных магазинов «шаговой доступности» на первых этажах жилых домов.</w:t>
      </w:r>
    </w:p>
    <w:p w:rsidR="009B7AD0" w:rsidRPr="006B681B" w:rsidRDefault="009B7AD0" w:rsidP="0022054C">
      <w:pPr>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Происходит качественное изменение материально-технической базы предприятий торговой отрасли города – всё больше магазинов переходят на использование современных методов обслуживания и новейших торговых технологий.</w:t>
      </w:r>
    </w:p>
    <w:p w:rsidR="009B7AD0" w:rsidRPr="006B681B" w:rsidRDefault="009B7AD0" w:rsidP="0022054C">
      <w:pPr>
        <w:spacing w:after="0" w:line="240" w:lineRule="auto"/>
        <w:ind w:firstLine="720"/>
        <w:jc w:val="both"/>
        <w:rPr>
          <w:rFonts w:ascii="Times New Roman" w:hAnsi="Times New Roman" w:cs="Times New Roman"/>
          <w:sz w:val="26"/>
          <w:szCs w:val="26"/>
        </w:rPr>
      </w:pPr>
      <w:r w:rsidRPr="006B681B">
        <w:rPr>
          <w:rFonts w:ascii="Times New Roman" w:hAnsi="Times New Roman" w:cs="Times New Roman"/>
          <w:sz w:val="26"/>
          <w:szCs w:val="26"/>
        </w:rPr>
        <w:t xml:space="preserve">Сфера общественного питания в большей степени зависит от роста реальных доходов населения, </w:t>
      </w:r>
      <w:r w:rsidR="00D950A0" w:rsidRPr="006B681B">
        <w:rPr>
          <w:rFonts w:ascii="Times New Roman" w:hAnsi="Times New Roman" w:cs="Times New Roman"/>
          <w:sz w:val="26"/>
          <w:szCs w:val="26"/>
        </w:rPr>
        <w:t>на протяжении 9 месяцев 2015 года наблюдается снижение оборота общественного питания по отношению к 2014 году. В</w:t>
      </w:r>
      <w:r w:rsidRPr="006B681B">
        <w:rPr>
          <w:rFonts w:ascii="Times New Roman" w:hAnsi="Times New Roman" w:cs="Times New Roman"/>
          <w:sz w:val="26"/>
          <w:szCs w:val="26"/>
        </w:rPr>
        <w:t xml:space="preserve"> условиях сложившейся экономической ситуации, с учетом роста цен на продукты питания обор</w:t>
      </w:r>
      <w:r w:rsidR="00D950A0" w:rsidRPr="006B681B">
        <w:rPr>
          <w:rFonts w:ascii="Times New Roman" w:hAnsi="Times New Roman" w:cs="Times New Roman"/>
          <w:sz w:val="26"/>
          <w:szCs w:val="26"/>
        </w:rPr>
        <w:t>от</w:t>
      </w:r>
      <w:r w:rsidRPr="006B681B">
        <w:rPr>
          <w:rFonts w:ascii="Times New Roman" w:hAnsi="Times New Roman" w:cs="Times New Roman"/>
          <w:sz w:val="26"/>
          <w:szCs w:val="26"/>
        </w:rPr>
        <w:t xml:space="preserve"> общественного питания в 2015 году</w:t>
      </w:r>
      <w:r w:rsidR="00D950A0" w:rsidRPr="006B681B">
        <w:rPr>
          <w:rFonts w:ascii="Times New Roman" w:hAnsi="Times New Roman" w:cs="Times New Roman"/>
          <w:sz w:val="26"/>
          <w:szCs w:val="26"/>
        </w:rPr>
        <w:t xml:space="preserve"> по оценке</w:t>
      </w:r>
      <w:r w:rsidRPr="006B681B">
        <w:rPr>
          <w:rFonts w:ascii="Times New Roman" w:hAnsi="Times New Roman" w:cs="Times New Roman"/>
          <w:sz w:val="26"/>
          <w:szCs w:val="26"/>
        </w:rPr>
        <w:t xml:space="preserve"> </w:t>
      </w:r>
      <w:r w:rsidR="00D950A0" w:rsidRPr="006B681B">
        <w:rPr>
          <w:rFonts w:ascii="Times New Roman" w:hAnsi="Times New Roman" w:cs="Times New Roman"/>
          <w:sz w:val="26"/>
          <w:szCs w:val="26"/>
        </w:rPr>
        <w:t>составит 65,7%</w:t>
      </w:r>
      <w:r w:rsidRPr="006B681B">
        <w:rPr>
          <w:rFonts w:ascii="Times New Roman" w:hAnsi="Times New Roman" w:cs="Times New Roman"/>
          <w:sz w:val="26"/>
          <w:szCs w:val="26"/>
        </w:rPr>
        <w:t xml:space="preserve"> в сопост</w:t>
      </w:r>
      <w:r w:rsidR="00D950A0" w:rsidRPr="006B681B">
        <w:rPr>
          <w:rFonts w:ascii="Times New Roman" w:hAnsi="Times New Roman" w:cs="Times New Roman"/>
          <w:sz w:val="26"/>
          <w:szCs w:val="26"/>
        </w:rPr>
        <w:t>авимых ценах к уровню 2014 года</w:t>
      </w:r>
      <w:r w:rsidRPr="006B681B">
        <w:rPr>
          <w:rFonts w:ascii="Times New Roman" w:hAnsi="Times New Roman" w:cs="Times New Roman"/>
          <w:sz w:val="26"/>
          <w:szCs w:val="26"/>
        </w:rPr>
        <w:t xml:space="preserve"> </w:t>
      </w:r>
      <w:r w:rsidR="00D950A0" w:rsidRPr="006B681B">
        <w:rPr>
          <w:rFonts w:ascii="Times New Roman" w:hAnsi="Times New Roman" w:cs="Times New Roman"/>
          <w:sz w:val="26"/>
          <w:szCs w:val="26"/>
        </w:rPr>
        <w:t>или</w:t>
      </w:r>
      <w:r w:rsidRPr="006B681B">
        <w:rPr>
          <w:rFonts w:ascii="Times New Roman" w:hAnsi="Times New Roman" w:cs="Times New Roman"/>
          <w:sz w:val="26"/>
          <w:szCs w:val="26"/>
        </w:rPr>
        <w:t xml:space="preserve"> </w:t>
      </w:r>
      <w:r w:rsidR="00D950A0" w:rsidRPr="006B681B">
        <w:rPr>
          <w:rFonts w:ascii="Times New Roman" w:hAnsi="Times New Roman" w:cs="Times New Roman"/>
          <w:sz w:val="26"/>
          <w:szCs w:val="26"/>
        </w:rPr>
        <w:t>1 941,5</w:t>
      </w:r>
      <w:r w:rsidRPr="006B681B">
        <w:rPr>
          <w:rFonts w:ascii="Times New Roman" w:hAnsi="Times New Roman" w:cs="Times New Roman"/>
          <w:sz w:val="26"/>
          <w:szCs w:val="26"/>
        </w:rPr>
        <w:t xml:space="preserve"> млн. рублей. </w:t>
      </w:r>
    </w:p>
    <w:p w:rsidR="009B7AD0" w:rsidRPr="006B681B" w:rsidRDefault="009B7AD0" w:rsidP="0022054C">
      <w:pPr>
        <w:spacing w:after="0" w:line="240" w:lineRule="auto"/>
        <w:ind w:firstLine="720"/>
        <w:jc w:val="both"/>
        <w:rPr>
          <w:rFonts w:ascii="Times New Roman" w:hAnsi="Times New Roman" w:cs="Times New Roman"/>
          <w:sz w:val="26"/>
          <w:szCs w:val="26"/>
        </w:rPr>
      </w:pPr>
      <w:r w:rsidRPr="006B681B">
        <w:rPr>
          <w:rFonts w:ascii="Times New Roman" w:hAnsi="Times New Roman" w:cs="Times New Roman"/>
          <w:sz w:val="26"/>
          <w:szCs w:val="26"/>
        </w:rPr>
        <w:t xml:space="preserve">Объем оборота деятельности ресторанов, кафе и других видов предприятий за 2014 год составил 2 773,5 млн. рублей или </w:t>
      </w:r>
      <w:r w:rsidR="00D950A0" w:rsidRPr="006B681B">
        <w:rPr>
          <w:rFonts w:ascii="Times New Roman" w:hAnsi="Times New Roman" w:cs="Times New Roman"/>
          <w:sz w:val="26"/>
          <w:szCs w:val="26"/>
        </w:rPr>
        <w:t>96,7</w:t>
      </w:r>
      <w:r w:rsidRPr="006B681B">
        <w:rPr>
          <w:rFonts w:ascii="Times New Roman" w:hAnsi="Times New Roman" w:cs="Times New Roman"/>
          <w:sz w:val="26"/>
          <w:szCs w:val="26"/>
        </w:rPr>
        <w:t>% к уровню 2013 года.</w:t>
      </w:r>
    </w:p>
    <w:p w:rsidR="009B7AD0" w:rsidRPr="006B681B" w:rsidRDefault="009B7AD0" w:rsidP="0022054C">
      <w:pPr>
        <w:spacing w:after="0" w:line="240" w:lineRule="auto"/>
        <w:ind w:firstLine="720"/>
        <w:jc w:val="both"/>
        <w:rPr>
          <w:rFonts w:ascii="Times New Roman" w:hAnsi="Times New Roman" w:cs="Times New Roman"/>
          <w:sz w:val="26"/>
          <w:szCs w:val="26"/>
        </w:rPr>
      </w:pPr>
      <w:r w:rsidRPr="006B681B">
        <w:rPr>
          <w:rFonts w:ascii="Times New Roman" w:hAnsi="Times New Roman" w:cs="Times New Roman"/>
          <w:sz w:val="26"/>
          <w:szCs w:val="26"/>
        </w:rPr>
        <w:t xml:space="preserve">В расчете на душу населения оборот общественного питания в городе в 2015 году составит </w:t>
      </w:r>
      <w:r w:rsidR="00D950A0" w:rsidRPr="006B681B">
        <w:rPr>
          <w:rFonts w:ascii="Times New Roman" w:hAnsi="Times New Roman" w:cs="Times New Roman"/>
          <w:sz w:val="26"/>
          <w:szCs w:val="26"/>
        </w:rPr>
        <w:t>30,9</w:t>
      </w:r>
      <w:r w:rsidRPr="006B681B">
        <w:rPr>
          <w:rFonts w:ascii="Times New Roman" w:hAnsi="Times New Roman" w:cs="Times New Roman"/>
          <w:sz w:val="26"/>
          <w:szCs w:val="26"/>
        </w:rPr>
        <w:t xml:space="preserve"> тыс. рублей (в 2014 году – 44,9 тыс. рублей).</w:t>
      </w:r>
    </w:p>
    <w:p w:rsidR="00D31CE4" w:rsidRPr="006B681B" w:rsidRDefault="00D31CE4" w:rsidP="0022054C">
      <w:pPr>
        <w:spacing w:after="0" w:line="240" w:lineRule="auto"/>
        <w:ind w:firstLine="720"/>
        <w:jc w:val="both"/>
        <w:rPr>
          <w:rFonts w:ascii="Times New Roman" w:hAnsi="Times New Roman" w:cs="Times New Roman"/>
          <w:sz w:val="26"/>
          <w:szCs w:val="26"/>
        </w:rPr>
      </w:pPr>
    </w:p>
    <w:p w:rsidR="009B7AD0" w:rsidRPr="006B681B" w:rsidRDefault="009B7AD0" w:rsidP="0022054C">
      <w:pPr>
        <w:spacing w:after="0" w:line="240" w:lineRule="auto"/>
        <w:jc w:val="both"/>
        <w:rPr>
          <w:rFonts w:ascii="Times New Roman" w:hAnsi="Times New Roman" w:cs="Times New Roman"/>
          <w:sz w:val="26"/>
          <w:szCs w:val="26"/>
        </w:rPr>
      </w:pPr>
      <w:r w:rsidRPr="006B681B">
        <w:rPr>
          <w:rFonts w:ascii="Times New Roman" w:hAnsi="Times New Roman" w:cs="Times New Roman"/>
          <w:noProof/>
          <w:sz w:val="26"/>
          <w:szCs w:val="26"/>
          <w:lang w:eastAsia="ru-RU"/>
        </w:rPr>
        <w:drawing>
          <wp:inline distT="0" distB="0" distL="0" distR="0" wp14:anchorId="551509CB" wp14:editId="23259BBF">
            <wp:extent cx="5838825" cy="3818965"/>
            <wp:effectExtent l="0" t="0" r="0" b="0"/>
            <wp:docPr id="5"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7AD0" w:rsidRPr="006B681B" w:rsidRDefault="009B7AD0" w:rsidP="0022054C">
      <w:pPr>
        <w:spacing w:after="0" w:line="240" w:lineRule="auto"/>
        <w:ind w:firstLine="720"/>
        <w:jc w:val="both"/>
        <w:rPr>
          <w:rFonts w:ascii="Times New Roman" w:hAnsi="Times New Roman" w:cs="Times New Roman"/>
          <w:sz w:val="26"/>
          <w:szCs w:val="26"/>
        </w:rPr>
      </w:pPr>
      <w:r w:rsidRPr="006B681B">
        <w:rPr>
          <w:rFonts w:ascii="Times New Roman" w:hAnsi="Times New Roman" w:cs="Times New Roman"/>
          <w:sz w:val="26"/>
          <w:szCs w:val="26"/>
        </w:rPr>
        <w:t xml:space="preserve">В прогнозном периоде оборот общественного питания будет иметь положительную динамику с ростом до </w:t>
      </w:r>
      <w:r w:rsidR="00D950A0" w:rsidRPr="006B681B">
        <w:rPr>
          <w:rFonts w:ascii="Times New Roman" w:hAnsi="Times New Roman" w:cs="Times New Roman"/>
          <w:sz w:val="26"/>
          <w:szCs w:val="26"/>
        </w:rPr>
        <w:t>102,1</w:t>
      </w:r>
      <w:r w:rsidRPr="006B681B">
        <w:rPr>
          <w:rFonts w:ascii="Times New Roman" w:hAnsi="Times New Roman" w:cs="Times New Roman"/>
          <w:sz w:val="26"/>
          <w:szCs w:val="26"/>
        </w:rPr>
        <w:t>% в 2018 году по второму варианту. Этому будет способствовать стабилизация цен на продовольственные товары, рост доходов населения.</w:t>
      </w:r>
    </w:p>
    <w:p w:rsidR="009B7AD0" w:rsidRPr="00B54911" w:rsidRDefault="009B7AD0" w:rsidP="0022054C">
      <w:pPr>
        <w:spacing w:after="0" w:line="240" w:lineRule="auto"/>
        <w:ind w:firstLine="709"/>
        <w:jc w:val="both"/>
        <w:rPr>
          <w:rFonts w:ascii="Times New Roman" w:eastAsia="Calibri" w:hAnsi="Times New Roman" w:cs="Times New Roman"/>
          <w:sz w:val="26"/>
          <w:szCs w:val="26"/>
          <w:lang w:eastAsia="ru-RU"/>
        </w:rPr>
      </w:pPr>
      <w:r w:rsidRPr="00B54911">
        <w:rPr>
          <w:rFonts w:ascii="Times New Roman" w:eastAsia="Calibri" w:hAnsi="Times New Roman" w:cs="Times New Roman"/>
          <w:sz w:val="26"/>
          <w:szCs w:val="26"/>
          <w:lang w:eastAsia="ru-RU"/>
        </w:rPr>
        <w:t>По состоянию на 1 января 2015 года в городе осуществляют свою деятельность 116 предприятий общественного питания, общим количеством посадочных мест 5</w:t>
      </w:r>
      <w:r w:rsidR="00C71A47" w:rsidRPr="00B54911">
        <w:rPr>
          <w:rFonts w:ascii="Times New Roman" w:eastAsia="Calibri" w:hAnsi="Times New Roman" w:cs="Times New Roman"/>
          <w:sz w:val="26"/>
          <w:szCs w:val="26"/>
          <w:lang w:eastAsia="ru-RU"/>
        </w:rPr>
        <w:t xml:space="preserve"> </w:t>
      </w:r>
      <w:r w:rsidR="00027716" w:rsidRPr="00B54911">
        <w:rPr>
          <w:rFonts w:ascii="Times New Roman" w:eastAsia="Calibri" w:hAnsi="Times New Roman" w:cs="Times New Roman"/>
          <w:sz w:val="26"/>
          <w:szCs w:val="26"/>
          <w:lang w:eastAsia="ru-RU"/>
        </w:rPr>
        <w:t>567</w:t>
      </w:r>
      <w:r w:rsidRPr="00B54911">
        <w:rPr>
          <w:rFonts w:ascii="Times New Roman" w:eastAsia="Calibri" w:hAnsi="Times New Roman" w:cs="Times New Roman"/>
          <w:sz w:val="26"/>
          <w:szCs w:val="26"/>
          <w:lang w:eastAsia="ru-RU"/>
        </w:rPr>
        <w:t>. Из них 5</w:t>
      </w:r>
      <w:r w:rsidR="00027716" w:rsidRPr="00B54911">
        <w:rPr>
          <w:rFonts w:ascii="Times New Roman" w:eastAsia="Calibri" w:hAnsi="Times New Roman" w:cs="Times New Roman"/>
          <w:sz w:val="26"/>
          <w:szCs w:val="26"/>
          <w:lang w:eastAsia="ru-RU"/>
        </w:rPr>
        <w:t>6</w:t>
      </w:r>
      <w:r w:rsidRPr="00B54911">
        <w:rPr>
          <w:rFonts w:ascii="Times New Roman" w:eastAsia="Calibri" w:hAnsi="Times New Roman" w:cs="Times New Roman"/>
          <w:sz w:val="26"/>
          <w:szCs w:val="26"/>
          <w:lang w:eastAsia="ru-RU"/>
        </w:rPr>
        <w:t xml:space="preserve"> предприятий общедоступной сети на 2 19</w:t>
      </w:r>
      <w:r w:rsidR="00027716" w:rsidRPr="00B54911">
        <w:rPr>
          <w:rFonts w:ascii="Times New Roman" w:eastAsia="Calibri" w:hAnsi="Times New Roman" w:cs="Times New Roman"/>
          <w:sz w:val="26"/>
          <w:szCs w:val="26"/>
          <w:lang w:eastAsia="ru-RU"/>
        </w:rPr>
        <w:t>0</w:t>
      </w:r>
      <w:r w:rsidRPr="00B54911">
        <w:rPr>
          <w:rFonts w:ascii="Times New Roman" w:eastAsia="Calibri" w:hAnsi="Times New Roman" w:cs="Times New Roman"/>
          <w:sz w:val="26"/>
          <w:szCs w:val="26"/>
          <w:lang w:eastAsia="ru-RU"/>
        </w:rPr>
        <w:t xml:space="preserve"> посадочных места. </w:t>
      </w:r>
    </w:p>
    <w:p w:rsidR="009B7AD0" w:rsidRPr="00B54911" w:rsidRDefault="009B7AD0" w:rsidP="0022054C">
      <w:pPr>
        <w:spacing w:after="0" w:line="240" w:lineRule="auto"/>
        <w:ind w:firstLine="709"/>
        <w:jc w:val="both"/>
        <w:rPr>
          <w:rFonts w:ascii="Times New Roman" w:eastAsia="Calibri" w:hAnsi="Times New Roman" w:cs="Times New Roman"/>
          <w:sz w:val="26"/>
          <w:szCs w:val="26"/>
          <w:lang w:eastAsia="ru-RU"/>
        </w:rPr>
      </w:pPr>
      <w:r w:rsidRPr="00B54911">
        <w:rPr>
          <w:rFonts w:ascii="Times New Roman" w:eastAsia="Calibri" w:hAnsi="Times New Roman" w:cs="Times New Roman"/>
          <w:sz w:val="26"/>
          <w:szCs w:val="26"/>
          <w:lang w:eastAsia="ru-RU"/>
        </w:rPr>
        <w:t xml:space="preserve">В </w:t>
      </w:r>
      <w:r w:rsidR="00393B91" w:rsidRPr="00B54911">
        <w:rPr>
          <w:rFonts w:ascii="Times New Roman" w:eastAsia="Calibri" w:hAnsi="Times New Roman" w:cs="Times New Roman"/>
          <w:sz w:val="26"/>
          <w:szCs w:val="26"/>
          <w:lang w:eastAsia="ru-RU"/>
        </w:rPr>
        <w:t>2015 году открыли</w:t>
      </w:r>
      <w:r w:rsidRPr="00B54911">
        <w:rPr>
          <w:rFonts w:ascii="Times New Roman" w:eastAsia="Calibri" w:hAnsi="Times New Roman" w:cs="Times New Roman"/>
          <w:sz w:val="26"/>
          <w:szCs w:val="26"/>
          <w:lang w:eastAsia="ru-RU"/>
        </w:rPr>
        <w:t>сь</w:t>
      </w:r>
      <w:r w:rsidR="00393B91" w:rsidRPr="00B54911">
        <w:rPr>
          <w:rFonts w:ascii="Times New Roman" w:eastAsia="Calibri" w:hAnsi="Times New Roman" w:cs="Times New Roman"/>
          <w:sz w:val="26"/>
          <w:szCs w:val="26"/>
          <w:lang w:eastAsia="ru-RU"/>
        </w:rPr>
        <w:t>:</w:t>
      </w:r>
      <w:r w:rsidRPr="00B54911">
        <w:rPr>
          <w:rFonts w:ascii="Times New Roman" w:eastAsia="Calibri" w:hAnsi="Times New Roman" w:cs="Times New Roman"/>
          <w:sz w:val="26"/>
          <w:szCs w:val="26"/>
          <w:lang w:eastAsia="ru-RU"/>
        </w:rPr>
        <w:t xml:space="preserve"> кафе «Friends» на 48 посадочных мест,</w:t>
      </w:r>
      <w:r w:rsidR="00393B91" w:rsidRPr="00B54911">
        <w:rPr>
          <w:rFonts w:ascii="Times New Roman" w:eastAsia="Calibri" w:hAnsi="Times New Roman" w:cs="Times New Roman"/>
          <w:sz w:val="26"/>
          <w:szCs w:val="26"/>
          <w:lang w:eastAsia="ru-RU"/>
        </w:rPr>
        <w:t xml:space="preserve"> кафе «Белая сова» на 80 мест, кафе «Релакс» на 50 мест. </w:t>
      </w:r>
      <w:r w:rsidR="00265CB8" w:rsidRPr="00B54911">
        <w:rPr>
          <w:rFonts w:ascii="Times New Roman" w:eastAsia="Calibri" w:hAnsi="Times New Roman" w:cs="Times New Roman"/>
          <w:sz w:val="26"/>
          <w:szCs w:val="26"/>
          <w:lang w:eastAsia="ru-RU"/>
        </w:rPr>
        <w:t>Ожидается открытие еще одной столовой и закусочной</w:t>
      </w:r>
      <w:r w:rsidR="00027716" w:rsidRPr="00B54911">
        <w:rPr>
          <w:rFonts w:ascii="Times New Roman" w:eastAsia="Calibri" w:hAnsi="Times New Roman" w:cs="Times New Roman"/>
          <w:sz w:val="26"/>
          <w:szCs w:val="26"/>
          <w:lang w:eastAsia="ru-RU"/>
        </w:rPr>
        <w:t xml:space="preserve"> (ориентировочно </w:t>
      </w:r>
      <w:r w:rsidR="00265CB8" w:rsidRPr="00B54911">
        <w:rPr>
          <w:rFonts w:ascii="Times New Roman" w:eastAsia="Calibri" w:hAnsi="Times New Roman" w:cs="Times New Roman"/>
          <w:sz w:val="26"/>
          <w:szCs w:val="26"/>
          <w:lang w:eastAsia="ru-RU"/>
        </w:rPr>
        <w:t>на 100 мест</w:t>
      </w:r>
      <w:r w:rsidR="00027716" w:rsidRPr="00B54911">
        <w:rPr>
          <w:rFonts w:ascii="Times New Roman" w:eastAsia="Calibri" w:hAnsi="Times New Roman" w:cs="Times New Roman"/>
          <w:sz w:val="26"/>
          <w:szCs w:val="26"/>
          <w:lang w:eastAsia="ru-RU"/>
        </w:rPr>
        <w:t>)</w:t>
      </w:r>
      <w:r w:rsidR="00265CB8" w:rsidRPr="00B54911">
        <w:rPr>
          <w:rFonts w:ascii="Times New Roman" w:eastAsia="Calibri" w:hAnsi="Times New Roman" w:cs="Times New Roman"/>
          <w:sz w:val="26"/>
          <w:szCs w:val="26"/>
          <w:lang w:eastAsia="ru-RU"/>
        </w:rPr>
        <w:t>, таким образом, о</w:t>
      </w:r>
      <w:r w:rsidRPr="00B54911">
        <w:rPr>
          <w:rFonts w:ascii="Times New Roman" w:eastAsia="Calibri" w:hAnsi="Times New Roman" w:cs="Times New Roman"/>
          <w:sz w:val="26"/>
          <w:szCs w:val="26"/>
          <w:lang w:eastAsia="ru-RU"/>
        </w:rPr>
        <w:t>беспеченность посадочными местам</w:t>
      </w:r>
      <w:r w:rsidR="00265CB8" w:rsidRPr="00B54911">
        <w:rPr>
          <w:rFonts w:ascii="Times New Roman" w:eastAsia="Calibri" w:hAnsi="Times New Roman" w:cs="Times New Roman"/>
          <w:sz w:val="26"/>
          <w:szCs w:val="26"/>
          <w:lang w:eastAsia="ru-RU"/>
        </w:rPr>
        <w:t>и в городе Когалыме составит 89</w:t>
      </w:r>
      <w:r w:rsidRPr="00B54911">
        <w:rPr>
          <w:rFonts w:ascii="Times New Roman" w:eastAsia="Calibri" w:hAnsi="Times New Roman" w:cs="Times New Roman"/>
          <w:sz w:val="26"/>
          <w:szCs w:val="26"/>
          <w:lang w:eastAsia="ru-RU"/>
        </w:rPr>
        <w:t>% от норматива</w:t>
      </w:r>
      <w:r w:rsidR="00793A41" w:rsidRPr="00B54911">
        <w:rPr>
          <w:rFonts w:ascii="Times New Roman" w:eastAsia="Calibri" w:hAnsi="Times New Roman" w:cs="Times New Roman"/>
          <w:sz w:val="26"/>
          <w:szCs w:val="26"/>
          <w:lang w:eastAsia="ru-RU"/>
        </w:rPr>
        <w:t xml:space="preserve"> (2014 год – 88%)</w:t>
      </w:r>
      <w:r w:rsidRPr="00B54911">
        <w:rPr>
          <w:rFonts w:ascii="Times New Roman" w:eastAsia="Calibri" w:hAnsi="Times New Roman" w:cs="Times New Roman"/>
          <w:sz w:val="26"/>
          <w:szCs w:val="26"/>
          <w:lang w:eastAsia="ru-RU"/>
        </w:rPr>
        <w:t>.</w:t>
      </w:r>
      <w:r w:rsidR="0026613F" w:rsidRPr="00B54911">
        <w:rPr>
          <w:rFonts w:ascii="Times New Roman" w:eastAsia="Calibri" w:hAnsi="Times New Roman" w:cs="Times New Roman"/>
          <w:sz w:val="26"/>
          <w:szCs w:val="26"/>
          <w:lang w:eastAsia="ru-RU"/>
        </w:rPr>
        <w:t xml:space="preserve"> </w:t>
      </w:r>
    </w:p>
    <w:p w:rsidR="009B7AD0" w:rsidRPr="006B681B" w:rsidRDefault="002A3C46" w:rsidP="0022054C">
      <w:pPr>
        <w:pStyle w:val="1"/>
        <w:spacing w:before="0" w:line="240" w:lineRule="auto"/>
        <w:jc w:val="center"/>
        <w:rPr>
          <w:rFonts w:ascii="Times New Roman" w:hAnsi="Times New Roman" w:cs="Times New Roman"/>
          <w:b/>
          <w:bCs/>
          <w:color w:val="auto"/>
          <w:sz w:val="26"/>
          <w:szCs w:val="26"/>
        </w:rPr>
      </w:pPr>
      <w:bookmarkStart w:id="7" w:name="_Toc435801069"/>
      <w:r w:rsidRPr="006B681B">
        <w:rPr>
          <w:rFonts w:ascii="Times New Roman" w:hAnsi="Times New Roman" w:cs="Times New Roman"/>
          <w:b/>
          <w:bCs/>
          <w:color w:val="auto"/>
          <w:sz w:val="26"/>
          <w:szCs w:val="26"/>
        </w:rPr>
        <w:t xml:space="preserve">4.2. </w:t>
      </w:r>
      <w:r w:rsidR="009B7AD0" w:rsidRPr="006B681B">
        <w:rPr>
          <w:rFonts w:ascii="Times New Roman" w:hAnsi="Times New Roman" w:cs="Times New Roman"/>
          <w:b/>
          <w:bCs/>
          <w:color w:val="auto"/>
          <w:sz w:val="26"/>
          <w:szCs w:val="26"/>
        </w:rPr>
        <w:t>Платные услуги</w:t>
      </w:r>
      <w:bookmarkEnd w:id="7"/>
    </w:p>
    <w:p w:rsidR="009B7AD0" w:rsidRPr="006B681B" w:rsidRDefault="009B7AD0" w:rsidP="0022054C">
      <w:pPr>
        <w:spacing w:after="0" w:line="240" w:lineRule="auto"/>
        <w:ind w:firstLine="709"/>
        <w:jc w:val="both"/>
        <w:rPr>
          <w:rFonts w:ascii="Times New Roman" w:hAnsi="Times New Roman" w:cs="Times New Roman"/>
          <w:b/>
          <w:bCs/>
          <w:sz w:val="26"/>
          <w:szCs w:val="26"/>
        </w:rPr>
      </w:pP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За 2014 год населению города оказано платных услуг по всем каналам реализации на сумму 3 479,6 млн. рублей или 100,5% к уровню 2013 года в сопоставимых ценах.</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В 2015 году по оценке объем платных услуг во всех секторах реализации, оказываемых населению услуг, составит 3 792,8 млн. рублей или 97,8% в сопоставимых ценах к уровню 2014 года. В среднесрочной перспективе темп роста объема платных услуг составит около 101%.</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9B7AD0" w:rsidRPr="006B681B" w:rsidRDefault="009B7AD0" w:rsidP="0022054C">
      <w:pPr>
        <w:autoSpaceDE w:val="0"/>
        <w:autoSpaceDN w:val="0"/>
        <w:adjustRightInd w:val="0"/>
        <w:spacing w:after="0" w:line="240" w:lineRule="auto"/>
        <w:jc w:val="both"/>
        <w:rPr>
          <w:rFonts w:ascii="Times New Roman" w:eastAsia="Calibri" w:hAnsi="Times New Roman" w:cs="Times New Roman"/>
          <w:sz w:val="26"/>
          <w:szCs w:val="26"/>
          <w:lang w:eastAsia="ru-RU"/>
        </w:rPr>
      </w:pPr>
      <w:r w:rsidRPr="006B681B">
        <w:rPr>
          <w:rFonts w:ascii="Times New Roman" w:hAnsi="Times New Roman" w:cs="Times New Roman"/>
          <w:noProof/>
          <w:sz w:val="26"/>
          <w:szCs w:val="26"/>
          <w:lang w:eastAsia="ru-RU"/>
        </w:rPr>
        <w:drawing>
          <wp:inline distT="0" distB="0" distL="0" distR="0" wp14:anchorId="74D4B08C" wp14:editId="1E85D39D">
            <wp:extent cx="5838825" cy="3276600"/>
            <wp:effectExtent l="0" t="0" r="0" b="0"/>
            <wp:docPr id="6"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В прогнозном периоде услуги обязательного характера: жилищно-коммунальные и услуги связи останутся наиболее востребованными, их удельный вес в общем объеме платных услуг, реализованных населению, составит около 70,0%.</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Сохраняющейся положительной динамике предоставления услуг связи будет способствовать повышение качества предоставляемых услуг, реформирование почтовой связи, внедрение новых форм обслуживания населения. Рост социальной активности населения оказывает положительное влияние на более интенсивный информационный обмен. </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В 2015 году и среднесрочной перспективе ожидается рост жилищно – коммунальных услуг на уровне 4%. Определяться данная динамика будет объемами ввода жилья.</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Общими тенденциями развития рынка услуг учреждений культуры, физической культуры и спорта остаются пропаганда здорового образа жизни и повышение качества оказываемых услуг. Предполагается, что в сопоставимых ценах рост объема услуг физической культуры и спорта в 2015 составит 5%, в дальнейшем сохранится на уровне 4%, а рост услуг учреждений культуры составит 2%, с сохранением на данном уровне до 2018 года.</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Сфера бытового обслуживания населения является составной частью потребительского рынка платных услуг, представляющая собой социально значимый сектор экономики, составляющий </w:t>
      </w:r>
      <w:r w:rsidR="005B2B18" w:rsidRPr="006B681B">
        <w:rPr>
          <w:rFonts w:ascii="Times New Roman" w:eastAsia="Calibri" w:hAnsi="Times New Roman" w:cs="Times New Roman"/>
          <w:sz w:val="26"/>
          <w:szCs w:val="26"/>
          <w:lang w:eastAsia="ru-RU"/>
        </w:rPr>
        <w:t>около 9</w:t>
      </w:r>
      <w:r w:rsidRPr="006B681B">
        <w:rPr>
          <w:rFonts w:ascii="Times New Roman" w:eastAsia="Calibri" w:hAnsi="Times New Roman" w:cs="Times New Roman"/>
          <w:sz w:val="26"/>
          <w:szCs w:val="26"/>
          <w:lang w:eastAsia="ru-RU"/>
        </w:rPr>
        <w:t>% в общей структуре предлагаемых платных услуг.</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В среднесрочной перспективе спрос на бытовые услуги будет обусловлен главным образом стремлением населения к улучшению качества жизни и экономии времени на повседневных делах.</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Наиболее востребованными населением видами бытовых услуг останутся:</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парикмахерские услуги;</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техническое обслуживание и ремонт автотранспортных средств;</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ремонт и пошив обуви и швейных изделий.</w:t>
      </w:r>
    </w:p>
    <w:p w:rsidR="009B7AD0" w:rsidRPr="006B681B" w:rsidRDefault="009B7AD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В целом, ситуация на рынке платных услуг остается стабильной. Повышение денежных доходов населения будет способствовать сохранению объема предоставляемых услуг, динамичному развитию и здоровой конкуренции в данной сфере.</w:t>
      </w:r>
    </w:p>
    <w:p w:rsidR="00961AC1" w:rsidRPr="006B681B" w:rsidRDefault="00961AC1" w:rsidP="0022054C">
      <w:pPr>
        <w:pStyle w:val="1"/>
        <w:spacing w:before="0" w:line="240" w:lineRule="auto"/>
        <w:jc w:val="center"/>
        <w:rPr>
          <w:rFonts w:ascii="Times New Roman" w:hAnsi="Times New Roman" w:cs="Times New Roman"/>
          <w:b/>
          <w:bCs/>
          <w:color w:val="auto"/>
          <w:sz w:val="26"/>
          <w:szCs w:val="26"/>
        </w:rPr>
      </w:pPr>
    </w:p>
    <w:p w:rsidR="009B7AD0" w:rsidRPr="006B681B" w:rsidRDefault="002A3C46" w:rsidP="0022054C">
      <w:pPr>
        <w:pStyle w:val="1"/>
        <w:spacing w:before="0" w:line="240" w:lineRule="auto"/>
        <w:jc w:val="center"/>
        <w:rPr>
          <w:rFonts w:ascii="Times New Roman" w:hAnsi="Times New Roman" w:cs="Times New Roman"/>
          <w:b/>
          <w:bCs/>
          <w:color w:val="auto"/>
          <w:sz w:val="26"/>
          <w:szCs w:val="26"/>
        </w:rPr>
      </w:pPr>
      <w:bookmarkStart w:id="8" w:name="_Toc435801070"/>
      <w:r w:rsidRPr="006B681B">
        <w:rPr>
          <w:rFonts w:ascii="Times New Roman" w:hAnsi="Times New Roman" w:cs="Times New Roman"/>
          <w:b/>
          <w:bCs/>
          <w:color w:val="auto"/>
          <w:sz w:val="26"/>
          <w:szCs w:val="26"/>
        </w:rPr>
        <w:t xml:space="preserve">4.3. </w:t>
      </w:r>
      <w:r w:rsidR="009B7AD0" w:rsidRPr="006B681B">
        <w:rPr>
          <w:rFonts w:ascii="Times New Roman" w:hAnsi="Times New Roman" w:cs="Times New Roman"/>
          <w:b/>
          <w:bCs/>
          <w:color w:val="auto"/>
          <w:sz w:val="26"/>
          <w:szCs w:val="26"/>
        </w:rPr>
        <w:t>Агропромышленный комплекс</w:t>
      </w:r>
      <w:bookmarkEnd w:id="8"/>
    </w:p>
    <w:p w:rsidR="009B7AD0" w:rsidRPr="006B681B" w:rsidRDefault="009B7AD0" w:rsidP="0022054C">
      <w:pPr>
        <w:spacing w:after="0" w:line="240" w:lineRule="auto"/>
        <w:jc w:val="center"/>
        <w:rPr>
          <w:rFonts w:ascii="Times New Roman" w:hAnsi="Times New Roman" w:cs="Times New Roman"/>
          <w:b/>
          <w:bCs/>
          <w:sz w:val="18"/>
          <w:szCs w:val="26"/>
        </w:rPr>
      </w:pP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Производство сельскохозяйственной продукции </w:t>
      </w:r>
      <w:r w:rsidR="002A3C46" w:rsidRPr="006B681B">
        <w:rPr>
          <w:rFonts w:ascii="Times New Roman" w:hAnsi="Times New Roman" w:cs="Times New Roman"/>
          <w:sz w:val="26"/>
          <w:szCs w:val="26"/>
        </w:rPr>
        <w:t>в</w:t>
      </w:r>
      <w:r w:rsidRPr="006B681B">
        <w:rPr>
          <w:rFonts w:ascii="Times New Roman" w:hAnsi="Times New Roman" w:cs="Times New Roman"/>
          <w:sz w:val="26"/>
          <w:szCs w:val="26"/>
        </w:rPr>
        <w:t xml:space="preserve"> город</w:t>
      </w:r>
      <w:r w:rsidR="002A3C46" w:rsidRPr="006B681B">
        <w:rPr>
          <w:rFonts w:ascii="Times New Roman" w:hAnsi="Times New Roman" w:cs="Times New Roman"/>
          <w:sz w:val="26"/>
          <w:szCs w:val="26"/>
        </w:rPr>
        <w:t>е</w:t>
      </w:r>
      <w:r w:rsidRPr="006B681B">
        <w:rPr>
          <w:rFonts w:ascii="Times New Roman" w:hAnsi="Times New Roman" w:cs="Times New Roman"/>
          <w:sz w:val="26"/>
          <w:szCs w:val="26"/>
        </w:rPr>
        <w:t xml:space="preserve"> Когалым</w:t>
      </w:r>
      <w:r w:rsidR="002A3C46" w:rsidRPr="006B681B">
        <w:rPr>
          <w:rFonts w:ascii="Times New Roman" w:hAnsi="Times New Roman" w:cs="Times New Roman"/>
          <w:sz w:val="26"/>
          <w:szCs w:val="26"/>
        </w:rPr>
        <w:t>е</w:t>
      </w:r>
      <w:r w:rsidRPr="006B681B">
        <w:rPr>
          <w:rFonts w:ascii="Times New Roman" w:hAnsi="Times New Roman" w:cs="Times New Roman"/>
          <w:sz w:val="26"/>
          <w:szCs w:val="26"/>
        </w:rPr>
        <w:t xml:space="preserve"> осуществляют крестьянские (фермерские) хозяйства и население в личных подсобных хозяйствах. </w:t>
      </w: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2014 году </w:t>
      </w:r>
      <w:r w:rsidR="002A3C46" w:rsidRPr="006B681B">
        <w:rPr>
          <w:rFonts w:ascii="Times New Roman" w:hAnsi="Times New Roman" w:cs="Times New Roman"/>
          <w:sz w:val="26"/>
          <w:szCs w:val="26"/>
        </w:rPr>
        <w:t>в</w:t>
      </w:r>
      <w:r w:rsidRPr="006B681B">
        <w:rPr>
          <w:rFonts w:ascii="Times New Roman" w:hAnsi="Times New Roman" w:cs="Times New Roman"/>
          <w:sz w:val="26"/>
          <w:szCs w:val="26"/>
        </w:rPr>
        <w:t xml:space="preserve"> город</w:t>
      </w:r>
      <w:r w:rsidR="002A3C46" w:rsidRPr="006B681B">
        <w:rPr>
          <w:rFonts w:ascii="Times New Roman" w:hAnsi="Times New Roman" w:cs="Times New Roman"/>
          <w:sz w:val="26"/>
          <w:szCs w:val="26"/>
        </w:rPr>
        <w:t>е</w:t>
      </w:r>
      <w:r w:rsidRPr="006B681B">
        <w:rPr>
          <w:rFonts w:ascii="Times New Roman" w:hAnsi="Times New Roman" w:cs="Times New Roman"/>
          <w:sz w:val="26"/>
          <w:szCs w:val="26"/>
        </w:rPr>
        <w:t xml:space="preserve"> Когалым</w:t>
      </w:r>
      <w:r w:rsidR="002A3C46" w:rsidRPr="006B681B">
        <w:rPr>
          <w:rFonts w:ascii="Times New Roman" w:hAnsi="Times New Roman" w:cs="Times New Roman"/>
          <w:sz w:val="26"/>
          <w:szCs w:val="26"/>
        </w:rPr>
        <w:t>е</w:t>
      </w:r>
      <w:r w:rsidRPr="006B681B">
        <w:rPr>
          <w:rFonts w:ascii="Times New Roman" w:hAnsi="Times New Roman" w:cs="Times New Roman"/>
          <w:sz w:val="26"/>
          <w:szCs w:val="26"/>
        </w:rPr>
        <w:t xml:space="preserve"> действовало 4 крестьянских (фермерских) хозяйств (2013 году -7), в 2015 году </w:t>
      </w:r>
      <w:r w:rsidR="00853AA5" w:rsidRPr="006B681B">
        <w:rPr>
          <w:rFonts w:ascii="Times New Roman" w:hAnsi="Times New Roman" w:cs="Times New Roman"/>
          <w:sz w:val="26"/>
          <w:szCs w:val="26"/>
        </w:rPr>
        <w:t>осуществляют свою деятельность 6</w:t>
      </w:r>
      <w:r w:rsidRPr="006B681B">
        <w:rPr>
          <w:rFonts w:ascii="Times New Roman" w:hAnsi="Times New Roman" w:cs="Times New Roman"/>
          <w:sz w:val="26"/>
          <w:szCs w:val="26"/>
        </w:rPr>
        <w:t xml:space="preserve"> таких хозяйств.</w:t>
      </w: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объеме продукции сельского хозяйств</w:t>
      </w:r>
      <w:r w:rsidR="00853AA5" w:rsidRPr="006B681B">
        <w:rPr>
          <w:rFonts w:ascii="Times New Roman" w:hAnsi="Times New Roman" w:cs="Times New Roman"/>
          <w:sz w:val="26"/>
          <w:szCs w:val="26"/>
        </w:rPr>
        <w:t xml:space="preserve">а в стоимостном выражении </w:t>
      </w:r>
      <w:r w:rsidRPr="006B681B">
        <w:rPr>
          <w:rFonts w:ascii="Times New Roman" w:hAnsi="Times New Roman" w:cs="Times New Roman"/>
          <w:sz w:val="26"/>
          <w:szCs w:val="26"/>
        </w:rPr>
        <w:t xml:space="preserve">животноводство занимает </w:t>
      </w:r>
      <w:r w:rsidR="00B82C0B" w:rsidRPr="006B681B">
        <w:rPr>
          <w:rFonts w:ascii="Times New Roman" w:hAnsi="Times New Roman" w:cs="Times New Roman"/>
          <w:sz w:val="26"/>
          <w:szCs w:val="26"/>
        </w:rPr>
        <w:t>65,3</w:t>
      </w:r>
      <w:r w:rsidRPr="006B681B">
        <w:rPr>
          <w:rFonts w:ascii="Times New Roman" w:hAnsi="Times New Roman" w:cs="Times New Roman"/>
          <w:sz w:val="26"/>
          <w:szCs w:val="26"/>
        </w:rPr>
        <w:t xml:space="preserve">%, растениеводство – </w:t>
      </w:r>
      <w:r w:rsidR="00B82C0B" w:rsidRPr="006B681B">
        <w:rPr>
          <w:rFonts w:ascii="Times New Roman" w:hAnsi="Times New Roman" w:cs="Times New Roman"/>
          <w:sz w:val="26"/>
          <w:szCs w:val="26"/>
        </w:rPr>
        <w:t>34,7</w:t>
      </w:r>
      <w:r w:rsidRPr="006B681B">
        <w:rPr>
          <w:rFonts w:ascii="Times New Roman" w:hAnsi="Times New Roman" w:cs="Times New Roman"/>
          <w:sz w:val="26"/>
          <w:szCs w:val="26"/>
        </w:rPr>
        <w:t>%. Основными отраслями животноводства являются разведение крупного, мелкого рогатого скота, свиней и птицы.</w:t>
      </w:r>
    </w:p>
    <w:p w:rsidR="00EB05E6"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2014 году </w:t>
      </w:r>
      <w:r w:rsidR="002A3C46" w:rsidRPr="006B681B">
        <w:rPr>
          <w:rFonts w:ascii="Times New Roman" w:hAnsi="Times New Roman" w:cs="Times New Roman"/>
          <w:sz w:val="26"/>
          <w:szCs w:val="26"/>
        </w:rPr>
        <w:t>в</w:t>
      </w:r>
      <w:r w:rsidRPr="006B681B">
        <w:rPr>
          <w:rFonts w:ascii="Times New Roman" w:hAnsi="Times New Roman" w:cs="Times New Roman"/>
          <w:sz w:val="26"/>
          <w:szCs w:val="26"/>
        </w:rPr>
        <w:t xml:space="preserve"> город</w:t>
      </w:r>
      <w:r w:rsidR="002A3C46" w:rsidRPr="006B681B">
        <w:rPr>
          <w:rFonts w:ascii="Times New Roman" w:hAnsi="Times New Roman" w:cs="Times New Roman"/>
          <w:sz w:val="26"/>
          <w:szCs w:val="26"/>
        </w:rPr>
        <w:t>е</w:t>
      </w:r>
      <w:r w:rsidRPr="006B681B">
        <w:rPr>
          <w:rFonts w:ascii="Times New Roman" w:hAnsi="Times New Roman" w:cs="Times New Roman"/>
          <w:sz w:val="26"/>
          <w:szCs w:val="26"/>
        </w:rPr>
        <w:t xml:space="preserve"> Когалым</w:t>
      </w:r>
      <w:r w:rsidR="002A3C46" w:rsidRPr="006B681B">
        <w:rPr>
          <w:rFonts w:ascii="Times New Roman" w:hAnsi="Times New Roman" w:cs="Times New Roman"/>
          <w:sz w:val="26"/>
          <w:szCs w:val="26"/>
        </w:rPr>
        <w:t>е</w:t>
      </w:r>
      <w:r w:rsidRPr="006B681B">
        <w:rPr>
          <w:rFonts w:ascii="Times New Roman" w:hAnsi="Times New Roman" w:cs="Times New Roman"/>
          <w:sz w:val="26"/>
          <w:szCs w:val="26"/>
        </w:rPr>
        <w:t xml:space="preserve"> произведено 0,182 тыс. тонн мяса в живом весе, или 101,1% к уровню 2013 года. Производство молока</w:t>
      </w:r>
      <w:r w:rsidR="00EB05E6" w:rsidRPr="006B681B">
        <w:rPr>
          <w:rFonts w:ascii="Times New Roman" w:hAnsi="Times New Roman" w:cs="Times New Roman"/>
          <w:sz w:val="26"/>
          <w:szCs w:val="26"/>
        </w:rPr>
        <w:t xml:space="preserve"> </w:t>
      </w:r>
      <w:r w:rsidR="00B270BA" w:rsidRPr="006B681B">
        <w:rPr>
          <w:rFonts w:ascii="Times New Roman" w:hAnsi="Times New Roman" w:cs="Times New Roman"/>
          <w:sz w:val="26"/>
          <w:szCs w:val="26"/>
        </w:rPr>
        <w:t>осталось на уровне</w:t>
      </w:r>
      <w:r w:rsidR="00EB05E6" w:rsidRPr="006B681B">
        <w:rPr>
          <w:rFonts w:ascii="Times New Roman" w:hAnsi="Times New Roman" w:cs="Times New Roman"/>
          <w:sz w:val="26"/>
          <w:szCs w:val="26"/>
        </w:rPr>
        <w:t xml:space="preserve"> 2013 года и</w:t>
      </w:r>
      <w:r w:rsidRPr="006B681B">
        <w:rPr>
          <w:rFonts w:ascii="Times New Roman" w:hAnsi="Times New Roman" w:cs="Times New Roman"/>
          <w:sz w:val="26"/>
          <w:szCs w:val="26"/>
        </w:rPr>
        <w:t xml:space="preserve"> составило </w:t>
      </w:r>
      <w:r w:rsidR="00B270BA" w:rsidRPr="006B681B">
        <w:rPr>
          <w:rFonts w:ascii="Times New Roman" w:hAnsi="Times New Roman" w:cs="Times New Roman"/>
          <w:sz w:val="26"/>
          <w:szCs w:val="26"/>
        </w:rPr>
        <w:t>0,08</w:t>
      </w:r>
      <w:r w:rsidRPr="006B681B">
        <w:rPr>
          <w:rFonts w:ascii="Times New Roman" w:hAnsi="Times New Roman" w:cs="Times New Roman"/>
          <w:sz w:val="26"/>
          <w:szCs w:val="26"/>
        </w:rPr>
        <w:t xml:space="preserve"> тыс. тонн</w:t>
      </w:r>
      <w:r w:rsidR="00EB05E6" w:rsidRPr="006B681B">
        <w:rPr>
          <w:rFonts w:ascii="Times New Roman" w:hAnsi="Times New Roman" w:cs="Times New Roman"/>
          <w:sz w:val="26"/>
          <w:szCs w:val="26"/>
        </w:rPr>
        <w:t>.</w:t>
      </w: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целях поддержки и развития сельскохозяйственного производства в городе Когалыме, постановлением Администрации города от 11.10.2013 №2900 утверждена муниципальная программа «Развитие агропромышленного комплекса и рынков сельскохозяйственной продукции, сырья и продовольствия в городе Когалыме в 2014-2017 годах» (далее - муниципальная программа</w:t>
      </w:r>
      <w:r w:rsidR="002A319A" w:rsidRPr="006B681B">
        <w:rPr>
          <w:rFonts w:ascii="Times New Roman" w:hAnsi="Times New Roman" w:cs="Times New Roman"/>
          <w:sz w:val="26"/>
          <w:szCs w:val="26"/>
        </w:rPr>
        <w:t xml:space="preserve"> АПК</w:t>
      </w:r>
      <w:r w:rsidRPr="006B681B">
        <w:rPr>
          <w:rFonts w:ascii="Times New Roman" w:hAnsi="Times New Roman" w:cs="Times New Roman"/>
          <w:sz w:val="26"/>
          <w:szCs w:val="26"/>
        </w:rPr>
        <w:t>).</w:t>
      </w: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рамках муниципальной программы </w:t>
      </w:r>
      <w:r w:rsidR="002A319A" w:rsidRPr="006B681B">
        <w:rPr>
          <w:rFonts w:ascii="Times New Roman" w:hAnsi="Times New Roman" w:cs="Times New Roman"/>
          <w:sz w:val="26"/>
          <w:szCs w:val="26"/>
        </w:rPr>
        <w:t xml:space="preserve">АПК </w:t>
      </w:r>
      <w:r w:rsidRPr="006B681B">
        <w:rPr>
          <w:rFonts w:ascii="Times New Roman" w:hAnsi="Times New Roman" w:cs="Times New Roman"/>
          <w:sz w:val="26"/>
          <w:szCs w:val="26"/>
        </w:rPr>
        <w:t>предусмотрены мероприятия, позволяющие сельхозпредприятиям, крестьянским (фермерским) хозяйствам, гражданам, ведущим личные подсобные хозяйства или занимающимся садоводством, огородничеством, животноводством осуществлять продажу собственной продукции на территории города Когалыма с получением муниципальной финансовой поддержки.</w:t>
      </w: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На 2015 год муниципальной программой предусмотрена поддержка развития животноводства на территории города Когалыма в сумме </w:t>
      </w:r>
      <w:r w:rsidR="00853AA5" w:rsidRPr="006B681B">
        <w:rPr>
          <w:rFonts w:ascii="Times New Roman" w:hAnsi="Times New Roman" w:cs="Times New Roman"/>
          <w:sz w:val="26"/>
          <w:szCs w:val="26"/>
        </w:rPr>
        <w:t>10 094,0</w:t>
      </w:r>
      <w:r w:rsidRPr="006B681B">
        <w:rPr>
          <w:rFonts w:ascii="Times New Roman" w:hAnsi="Times New Roman" w:cs="Times New Roman"/>
          <w:sz w:val="26"/>
          <w:szCs w:val="26"/>
        </w:rPr>
        <w:t xml:space="preserve"> тыс. рублей, из них:</w:t>
      </w: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 </w:t>
      </w:r>
      <w:r w:rsidR="00853AA5" w:rsidRPr="006B681B">
        <w:rPr>
          <w:rFonts w:ascii="Times New Roman" w:hAnsi="Times New Roman" w:cs="Times New Roman"/>
          <w:sz w:val="26"/>
          <w:szCs w:val="26"/>
        </w:rPr>
        <w:t>9 624,0</w:t>
      </w:r>
      <w:r w:rsidRPr="006B681B">
        <w:rPr>
          <w:rFonts w:ascii="Times New Roman" w:hAnsi="Times New Roman" w:cs="Times New Roman"/>
          <w:sz w:val="26"/>
          <w:szCs w:val="26"/>
        </w:rPr>
        <w:t xml:space="preserve"> тыс. рублей - бюджет Ханты-Мансийского автономного округа – Югры;</w:t>
      </w: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 </w:t>
      </w:r>
      <w:r w:rsidR="00853AA5" w:rsidRPr="006B681B">
        <w:rPr>
          <w:rFonts w:ascii="Times New Roman" w:hAnsi="Times New Roman" w:cs="Times New Roman"/>
          <w:sz w:val="26"/>
          <w:szCs w:val="26"/>
        </w:rPr>
        <w:t>470,0</w:t>
      </w:r>
      <w:r w:rsidRPr="006B681B">
        <w:rPr>
          <w:rFonts w:ascii="Times New Roman" w:hAnsi="Times New Roman" w:cs="Times New Roman"/>
          <w:sz w:val="26"/>
          <w:szCs w:val="26"/>
        </w:rPr>
        <w:t xml:space="preserve"> тыс. рублей – средства бюджета города Когалыма.</w:t>
      </w: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2014 году реализованы средства в сумме 9 561,3 тыс. рублей, из них:</w:t>
      </w: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- 540,0 тыс. рублей – на производство и реализацию молока и молокопродуктов;</w:t>
      </w: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- 96,0 тыс. рублей – на производство и реализацию мяса крупного и мелкого рогатого скота, лошадей;</w:t>
      </w: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- 7 975,3 тыс. рублей – на развитие прочих отраслей животноводства, свиноводства, птицеводства, кролиководства и звероводства;</w:t>
      </w: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- 950,0 – тыс. рублей – на оказание финансовой поддержки на развитие сельскохозяйственного производства, в виде предоставление субсидии в целях возмещения затрат, связанных с реализацией сельскохозяйственной продукции на территории города Когалыма.</w:t>
      </w: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Получателями поддержки стали 4 Главы крестьянского (фермерского) хозяйства.</w:t>
      </w:r>
    </w:p>
    <w:p w:rsidR="009B7AD0" w:rsidRPr="006B681B" w:rsidRDefault="009B7AD0"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По оценке, в 2015 году</w:t>
      </w:r>
      <w:r w:rsidR="00B270BA" w:rsidRPr="006B681B">
        <w:rPr>
          <w:rFonts w:ascii="Times New Roman" w:hAnsi="Times New Roman" w:cs="Times New Roman"/>
          <w:sz w:val="26"/>
          <w:szCs w:val="26"/>
        </w:rPr>
        <w:t xml:space="preserve"> рост производства</w:t>
      </w:r>
      <w:r w:rsidRPr="006B681B">
        <w:rPr>
          <w:rFonts w:ascii="Times New Roman" w:hAnsi="Times New Roman" w:cs="Times New Roman"/>
          <w:sz w:val="26"/>
          <w:szCs w:val="26"/>
        </w:rPr>
        <w:t xml:space="preserve"> м</w:t>
      </w:r>
      <w:r w:rsidR="00B270BA" w:rsidRPr="006B681B">
        <w:rPr>
          <w:rFonts w:ascii="Times New Roman" w:hAnsi="Times New Roman" w:cs="Times New Roman"/>
          <w:sz w:val="26"/>
          <w:szCs w:val="26"/>
        </w:rPr>
        <w:t>олока</w:t>
      </w:r>
      <w:r w:rsidRPr="006B681B">
        <w:rPr>
          <w:rFonts w:ascii="Times New Roman" w:hAnsi="Times New Roman" w:cs="Times New Roman"/>
          <w:sz w:val="26"/>
          <w:szCs w:val="26"/>
        </w:rPr>
        <w:t xml:space="preserve"> </w:t>
      </w:r>
      <w:r w:rsidR="00B270BA" w:rsidRPr="006B681B">
        <w:rPr>
          <w:rFonts w:ascii="Times New Roman" w:hAnsi="Times New Roman" w:cs="Times New Roman"/>
          <w:sz w:val="26"/>
          <w:szCs w:val="26"/>
        </w:rPr>
        <w:t xml:space="preserve">и </w:t>
      </w:r>
      <w:r w:rsidR="00242F34" w:rsidRPr="006B681B">
        <w:rPr>
          <w:rFonts w:ascii="Times New Roman" w:hAnsi="Times New Roman" w:cs="Times New Roman"/>
          <w:sz w:val="26"/>
          <w:szCs w:val="26"/>
        </w:rPr>
        <w:t>мяса составит</w:t>
      </w:r>
      <w:r w:rsidR="00B270BA" w:rsidRPr="006B681B">
        <w:rPr>
          <w:rFonts w:ascii="Times New Roman" w:hAnsi="Times New Roman" w:cs="Times New Roman"/>
          <w:sz w:val="26"/>
          <w:szCs w:val="26"/>
        </w:rPr>
        <w:t xml:space="preserve"> 137,5% </w:t>
      </w:r>
      <w:r w:rsidR="00827EEF" w:rsidRPr="006B681B">
        <w:rPr>
          <w:rFonts w:ascii="Times New Roman" w:hAnsi="Times New Roman" w:cs="Times New Roman"/>
          <w:sz w:val="26"/>
          <w:szCs w:val="26"/>
        </w:rPr>
        <w:t xml:space="preserve">и 100,5% </w:t>
      </w:r>
      <w:r w:rsidR="00B270BA" w:rsidRPr="006B681B">
        <w:rPr>
          <w:rFonts w:ascii="Times New Roman" w:hAnsi="Times New Roman" w:cs="Times New Roman"/>
          <w:sz w:val="26"/>
          <w:szCs w:val="26"/>
        </w:rPr>
        <w:t>соответственно. В прогнозном периоде ожидается увеличение производства молока до 0,17 тыс. тонн, мяса – до 0,230 тыс. т</w:t>
      </w:r>
      <w:r w:rsidR="00935736" w:rsidRPr="006B681B">
        <w:rPr>
          <w:rFonts w:ascii="Times New Roman" w:hAnsi="Times New Roman" w:cs="Times New Roman"/>
          <w:sz w:val="26"/>
          <w:szCs w:val="26"/>
        </w:rPr>
        <w:t>онн по второму варианту.</w:t>
      </w:r>
      <w:r w:rsidR="00B270BA" w:rsidRPr="006B681B">
        <w:rPr>
          <w:rFonts w:ascii="Times New Roman" w:hAnsi="Times New Roman" w:cs="Times New Roman"/>
          <w:sz w:val="26"/>
          <w:szCs w:val="26"/>
        </w:rPr>
        <w:t xml:space="preserve"> Производство</w:t>
      </w:r>
      <w:r w:rsidRPr="006B681B">
        <w:rPr>
          <w:rFonts w:ascii="Times New Roman" w:hAnsi="Times New Roman" w:cs="Times New Roman"/>
          <w:sz w:val="26"/>
          <w:szCs w:val="26"/>
        </w:rPr>
        <w:t xml:space="preserve"> овощей во всех категориях хозяйств в 2015 году</w:t>
      </w:r>
      <w:r w:rsidR="00B270BA" w:rsidRPr="006B681B">
        <w:rPr>
          <w:rFonts w:ascii="Times New Roman" w:hAnsi="Times New Roman" w:cs="Times New Roman"/>
          <w:sz w:val="26"/>
          <w:szCs w:val="26"/>
        </w:rPr>
        <w:t xml:space="preserve"> и прогнозном периоде</w:t>
      </w:r>
      <w:r w:rsidRPr="006B681B">
        <w:rPr>
          <w:rFonts w:ascii="Times New Roman" w:hAnsi="Times New Roman" w:cs="Times New Roman"/>
          <w:sz w:val="26"/>
          <w:szCs w:val="26"/>
        </w:rPr>
        <w:t xml:space="preserve"> останется на уровне 201</w:t>
      </w:r>
      <w:r w:rsidR="00827EEF" w:rsidRPr="006B681B">
        <w:rPr>
          <w:rFonts w:ascii="Times New Roman" w:hAnsi="Times New Roman" w:cs="Times New Roman"/>
          <w:sz w:val="26"/>
          <w:szCs w:val="26"/>
        </w:rPr>
        <w:t>4</w:t>
      </w:r>
      <w:r w:rsidRPr="006B681B">
        <w:rPr>
          <w:rFonts w:ascii="Times New Roman" w:hAnsi="Times New Roman" w:cs="Times New Roman"/>
          <w:sz w:val="26"/>
          <w:szCs w:val="26"/>
        </w:rPr>
        <w:t xml:space="preserve"> года. </w:t>
      </w:r>
    </w:p>
    <w:p w:rsidR="00FF51B9" w:rsidRPr="006B681B" w:rsidRDefault="00FF51B9" w:rsidP="0022054C">
      <w:pPr>
        <w:spacing w:after="0" w:line="240" w:lineRule="auto"/>
        <w:jc w:val="center"/>
        <w:rPr>
          <w:rFonts w:ascii="Times New Roman" w:hAnsi="Times New Roman" w:cs="Times New Roman"/>
          <w:b/>
          <w:bCs/>
          <w:sz w:val="26"/>
          <w:szCs w:val="26"/>
        </w:rPr>
      </w:pPr>
    </w:p>
    <w:p w:rsidR="00F05A30" w:rsidRPr="006B681B" w:rsidRDefault="00BF0565" w:rsidP="0022054C">
      <w:pPr>
        <w:pStyle w:val="1"/>
        <w:spacing w:before="0" w:line="240" w:lineRule="auto"/>
        <w:jc w:val="center"/>
        <w:rPr>
          <w:rFonts w:ascii="Times New Roman" w:hAnsi="Times New Roman" w:cs="Times New Roman"/>
          <w:b/>
          <w:bCs/>
          <w:color w:val="auto"/>
          <w:sz w:val="26"/>
          <w:szCs w:val="26"/>
        </w:rPr>
      </w:pPr>
      <w:bookmarkStart w:id="9" w:name="_Toc435801071"/>
      <w:r w:rsidRPr="006B681B">
        <w:rPr>
          <w:rFonts w:ascii="Times New Roman" w:hAnsi="Times New Roman" w:cs="Times New Roman"/>
          <w:b/>
          <w:bCs/>
          <w:color w:val="auto"/>
          <w:sz w:val="26"/>
          <w:szCs w:val="26"/>
        </w:rPr>
        <w:t xml:space="preserve">5. </w:t>
      </w:r>
      <w:r w:rsidR="00895B81" w:rsidRPr="006B681B">
        <w:rPr>
          <w:rFonts w:ascii="Times New Roman" w:hAnsi="Times New Roman" w:cs="Times New Roman"/>
          <w:b/>
          <w:bCs/>
          <w:color w:val="auto"/>
          <w:sz w:val="26"/>
          <w:szCs w:val="26"/>
        </w:rPr>
        <w:t>Уровень жизни населения</w:t>
      </w:r>
      <w:bookmarkEnd w:id="9"/>
    </w:p>
    <w:p w:rsidR="009D50D6" w:rsidRPr="006B681B" w:rsidRDefault="009D50D6" w:rsidP="0022054C">
      <w:pPr>
        <w:spacing w:after="0" w:line="240" w:lineRule="auto"/>
        <w:jc w:val="center"/>
        <w:rPr>
          <w:rFonts w:ascii="Times New Roman" w:hAnsi="Times New Roman" w:cs="Times New Roman"/>
          <w:b/>
          <w:bCs/>
          <w:sz w:val="26"/>
          <w:szCs w:val="26"/>
        </w:rPr>
      </w:pPr>
    </w:p>
    <w:p w:rsidR="00A93335" w:rsidRPr="006B681B" w:rsidRDefault="00A9333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Стабильность уровня жизни населения города Когалыма будет обеспечиваться, прежде всего, перспективами развития экономики, ёмкостью рынка труда, высоким уровнем заработной платы и мерами социальной поддержки. </w:t>
      </w:r>
    </w:p>
    <w:p w:rsidR="00FD6970" w:rsidRPr="006B681B" w:rsidRDefault="00FD697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В перспективе сохранится тенденция роста </w:t>
      </w:r>
      <w:r w:rsidR="00B54911">
        <w:rPr>
          <w:rFonts w:ascii="Times New Roman" w:eastAsia="Calibri" w:hAnsi="Times New Roman" w:cs="Times New Roman"/>
          <w:sz w:val="26"/>
          <w:szCs w:val="26"/>
          <w:lang w:eastAsia="ru-RU"/>
        </w:rPr>
        <w:t xml:space="preserve">среднемесячных </w:t>
      </w:r>
      <w:r w:rsidRPr="006B681B">
        <w:rPr>
          <w:rFonts w:ascii="Times New Roman" w:eastAsia="Calibri" w:hAnsi="Times New Roman" w:cs="Times New Roman"/>
          <w:sz w:val="26"/>
          <w:szCs w:val="26"/>
          <w:lang w:eastAsia="ru-RU"/>
        </w:rPr>
        <w:t>заработных плат как основного источника в структуре доходов населения (свыше 70%). Вместе с тем рост номинальной начисленной заработной платы будет адекватен реальной финансовой ситуации работодателей.</w:t>
      </w:r>
    </w:p>
    <w:p w:rsidR="00FD6970" w:rsidRPr="006B681B" w:rsidRDefault="00FD697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По прогнозам номинальная заработная плата будет расти в среднесрочном периоде темпами 10</w:t>
      </w:r>
      <w:r w:rsidR="00F70E00" w:rsidRPr="006B681B">
        <w:rPr>
          <w:rFonts w:ascii="Times New Roman" w:eastAsia="Calibri" w:hAnsi="Times New Roman" w:cs="Times New Roman"/>
          <w:sz w:val="26"/>
          <w:szCs w:val="26"/>
          <w:lang w:eastAsia="ru-RU"/>
        </w:rPr>
        <w:t>5,5</w:t>
      </w:r>
      <w:r w:rsidRPr="006B681B">
        <w:rPr>
          <w:rFonts w:ascii="Times New Roman" w:eastAsia="Calibri" w:hAnsi="Times New Roman" w:cs="Times New Roman"/>
          <w:sz w:val="26"/>
          <w:szCs w:val="26"/>
          <w:lang w:eastAsia="ru-RU"/>
        </w:rPr>
        <w:t xml:space="preserve">% в 2016 году, </w:t>
      </w:r>
      <w:r w:rsidR="00F70E00" w:rsidRPr="006B681B">
        <w:rPr>
          <w:rFonts w:ascii="Times New Roman" w:eastAsia="Calibri" w:hAnsi="Times New Roman" w:cs="Times New Roman"/>
          <w:sz w:val="26"/>
          <w:szCs w:val="26"/>
          <w:lang w:eastAsia="ru-RU"/>
        </w:rPr>
        <w:t>105,3</w:t>
      </w:r>
      <w:r w:rsidRPr="006B681B">
        <w:rPr>
          <w:rFonts w:ascii="Times New Roman" w:eastAsia="Calibri" w:hAnsi="Times New Roman" w:cs="Times New Roman"/>
          <w:sz w:val="26"/>
          <w:szCs w:val="26"/>
          <w:lang w:eastAsia="ru-RU"/>
        </w:rPr>
        <w:t xml:space="preserve">% в 2017 году, </w:t>
      </w:r>
      <w:r w:rsidR="00F70E00" w:rsidRPr="006B681B">
        <w:rPr>
          <w:rFonts w:ascii="Times New Roman" w:eastAsia="Calibri" w:hAnsi="Times New Roman" w:cs="Times New Roman"/>
          <w:sz w:val="26"/>
          <w:szCs w:val="26"/>
          <w:lang w:eastAsia="ru-RU"/>
        </w:rPr>
        <w:t>106,0</w:t>
      </w:r>
      <w:r w:rsidRPr="006B681B">
        <w:rPr>
          <w:rFonts w:ascii="Times New Roman" w:eastAsia="Calibri" w:hAnsi="Times New Roman" w:cs="Times New Roman"/>
          <w:sz w:val="26"/>
          <w:szCs w:val="26"/>
          <w:lang w:eastAsia="ru-RU"/>
        </w:rPr>
        <w:t>% в 2018 году по второму варианту.</w:t>
      </w:r>
    </w:p>
    <w:p w:rsidR="008578F6" w:rsidRPr="006B681B" w:rsidRDefault="00FD697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Система мер социальной поддержки, выплата стипендий, региональных надбавок к пенсиям гарантируют стабильность от 13,</w:t>
      </w:r>
      <w:r w:rsidR="00F70E00" w:rsidRPr="006B681B">
        <w:rPr>
          <w:rFonts w:ascii="Times New Roman" w:eastAsia="Calibri" w:hAnsi="Times New Roman" w:cs="Times New Roman"/>
          <w:sz w:val="26"/>
          <w:szCs w:val="26"/>
          <w:lang w:eastAsia="ru-RU"/>
        </w:rPr>
        <w:t>5</w:t>
      </w:r>
      <w:r w:rsidRPr="006B681B">
        <w:rPr>
          <w:rFonts w:ascii="Times New Roman" w:eastAsia="Calibri" w:hAnsi="Times New Roman" w:cs="Times New Roman"/>
          <w:sz w:val="26"/>
          <w:szCs w:val="26"/>
          <w:lang w:eastAsia="ru-RU"/>
        </w:rPr>
        <w:t xml:space="preserve">% до </w:t>
      </w:r>
      <w:r w:rsidR="00F70E00" w:rsidRPr="006B681B">
        <w:rPr>
          <w:rFonts w:ascii="Times New Roman" w:eastAsia="Calibri" w:hAnsi="Times New Roman" w:cs="Times New Roman"/>
          <w:sz w:val="26"/>
          <w:szCs w:val="26"/>
          <w:lang w:eastAsia="ru-RU"/>
        </w:rPr>
        <w:t>15,1</w:t>
      </w:r>
      <w:r w:rsidRPr="006B681B">
        <w:rPr>
          <w:rFonts w:ascii="Times New Roman" w:eastAsia="Calibri" w:hAnsi="Times New Roman" w:cs="Times New Roman"/>
          <w:sz w:val="26"/>
          <w:szCs w:val="26"/>
          <w:lang w:eastAsia="ru-RU"/>
        </w:rPr>
        <w:t xml:space="preserve">% в структуре доходов населения. Меры социальной защиты, взвешенная тарифная политика в жилищно-коммунальной сфере во многом способны обеспечить социальную стабильность в городе. </w:t>
      </w:r>
    </w:p>
    <w:p w:rsidR="00593CAC" w:rsidRPr="006B681B" w:rsidRDefault="00FD697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С учетом темпов роста инфляции рост реальной заработной платы прогнозируется до </w:t>
      </w:r>
      <w:r w:rsidR="008578F6" w:rsidRPr="006B681B">
        <w:rPr>
          <w:rFonts w:ascii="Times New Roman" w:eastAsia="Calibri" w:hAnsi="Times New Roman" w:cs="Times New Roman"/>
          <w:sz w:val="26"/>
          <w:szCs w:val="26"/>
          <w:lang w:eastAsia="ru-RU"/>
        </w:rPr>
        <w:t>1</w:t>
      </w:r>
      <w:r w:rsidRPr="006B681B">
        <w:rPr>
          <w:rFonts w:ascii="Times New Roman" w:eastAsia="Calibri" w:hAnsi="Times New Roman" w:cs="Times New Roman"/>
          <w:sz w:val="26"/>
          <w:szCs w:val="26"/>
          <w:lang w:eastAsia="ru-RU"/>
        </w:rPr>
        <w:t>% в 201</w:t>
      </w:r>
      <w:r w:rsidR="008578F6" w:rsidRPr="006B681B">
        <w:rPr>
          <w:rFonts w:ascii="Times New Roman" w:eastAsia="Calibri" w:hAnsi="Times New Roman" w:cs="Times New Roman"/>
          <w:sz w:val="26"/>
          <w:szCs w:val="26"/>
          <w:lang w:eastAsia="ru-RU"/>
        </w:rPr>
        <w:t>8</w:t>
      </w:r>
      <w:r w:rsidRPr="006B681B">
        <w:rPr>
          <w:rFonts w:ascii="Times New Roman" w:eastAsia="Calibri" w:hAnsi="Times New Roman" w:cs="Times New Roman"/>
          <w:sz w:val="26"/>
          <w:szCs w:val="26"/>
          <w:lang w:eastAsia="ru-RU"/>
        </w:rPr>
        <w:t xml:space="preserve"> году. </w:t>
      </w:r>
      <w:r w:rsidR="008578F6" w:rsidRPr="006B681B">
        <w:rPr>
          <w:rFonts w:ascii="Times New Roman" w:eastAsia="Calibri" w:hAnsi="Times New Roman" w:cs="Times New Roman"/>
          <w:sz w:val="26"/>
          <w:szCs w:val="26"/>
          <w:lang w:eastAsia="ru-RU"/>
        </w:rPr>
        <w:t xml:space="preserve">В 2015 году среднемесячная заработная плата по оценке составит </w:t>
      </w:r>
      <w:r w:rsidR="00B13E9A" w:rsidRPr="006B681B">
        <w:rPr>
          <w:rFonts w:ascii="Times New Roman" w:eastAsia="Calibri" w:hAnsi="Times New Roman" w:cs="Times New Roman"/>
          <w:sz w:val="26"/>
          <w:szCs w:val="26"/>
          <w:lang w:eastAsia="ru-RU"/>
        </w:rPr>
        <w:t>56 630,2</w:t>
      </w:r>
      <w:r w:rsidR="008578F6" w:rsidRPr="006B681B">
        <w:rPr>
          <w:rFonts w:ascii="Times New Roman" w:eastAsia="Calibri" w:hAnsi="Times New Roman" w:cs="Times New Roman"/>
          <w:sz w:val="26"/>
          <w:szCs w:val="26"/>
          <w:lang w:eastAsia="ru-RU"/>
        </w:rPr>
        <w:t xml:space="preserve"> рублей, что на </w:t>
      </w:r>
      <w:r w:rsidR="00B13E9A" w:rsidRPr="006B681B">
        <w:rPr>
          <w:rFonts w:ascii="Times New Roman" w:eastAsia="Calibri" w:hAnsi="Times New Roman" w:cs="Times New Roman"/>
          <w:sz w:val="26"/>
          <w:szCs w:val="26"/>
          <w:lang w:eastAsia="ru-RU"/>
        </w:rPr>
        <w:t>4,0</w:t>
      </w:r>
      <w:r w:rsidR="008578F6" w:rsidRPr="006B681B">
        <w:rPr>
          <w:rFonts w:ascii="Times New Roman" w:eastAsia="Calibri" w:hAnsi="Times New Roman" w:cs="Times New Roman"/>
          <w:sz w:val="26"/>
          <w:szCs w:val="26"/>
          <w:lang w:eastAsia="ru-RU"/>
        </w:rPr>
        <w:t xml:space="preserve">% выше, чем в 2014 году. </w:t>
      </w:r>
      <w:r w:rsidRPr="006B681B">
        <w:rPr>
          <w:rFonts w:ascii="Times New Roman" w:eastAsia="Calibri" w:hAnsi="Times New Roman" w:cs="Times New Roman"/>
          <w:sz w:val="26"/>
          <w:szCs w:val="26"/>
          <w:lang w:eastAsia="ru-RU"/>
        </w:rPr>
        <w:t xml:space="preserve">Рост реальных располагаемых доходов населения </w:t>
      </w:r>
      <w:r w:rsidR="00B13E9A" w:rsidRPr="006B681B">
        <w:rPr>
          <w:rFonts w:ascii="Times New Roman" w:eastAsia="Calibri" w:hAnsi="Times New Roman" w:cs="Times New Roman"/>
          <w:sz w:val="26"/>
          <w:szCs w:val="26"/>
          <w:lang w:eastAsia="ru-RU"/>
        </w:rPr>
        <w:t>прогнозируется</w:t>
      </w:r>
      <w:r w:rsidRPr="006B681B">
        <w:rPr>
          <w:rFonts w:ascii="Times New Roman" w:eastAsia="Calibri" w:hAnsi="Times New Roman" w:cs="Times New Roman"/>
          <w:sz w:val="26"/>
          <w:szCs w:val="26"/>
          <w:lang w:eastAsia="ru-RU"/>
        </w:rPr>
        <w:t xml:space="preserve"> до 2</w:t>
      </w:r>
      <w:r w:rsidR="008578F6" w:rsidRPr="006B681B">
        <w:rPr>
          <w:rFonts w:ascii="Times New Roman" w:eastAsia="Calibri" w:hAnsi="Times New Roman" w:cs="Times New Roman"/>
          <w:sz w:val="26"/>
          <w:szCs w:val="26"/>
          <w:lang w:eastAsia="ru-RU"/>
        </w:rPr>
        <w:t>,</w:t>
      </w:r>
      <w:r w:rsidR="00B13E9A" w:rsidRPr="006B681B">
        <w:rPr>
          <w:rFonts w:ascii="Times New Roman" w:eastAsia="Calibri" w:hAnsi="Times New Roman" w:cs="Times New Roman"/>
          <w:sz w:val="26"/>
          <w:szCs w:val="26"/>
          <w:lang w:eastAsia="ru-RU"/>
        </w:rPr>
        <w:t>8</w:t>
      </w:r>
      <w:r w:rsidRPr="006B681B">
        <w:rPr>
          <w:rFonts w:ascii="Times New Roman" w:eastAsia="Calibri" w:hAnsi="Times New Roman" w:cs="Times New Roman"/>
          <w:sz w:val="26"/>
          <w:szCs w:val="26"/>
          <w:lang w:eastAsia="ru-RU"/>
        </w:rPr>
        <w:t>% в 201</w:t>
      </w:r>
      <w:r w:rsidR="008578F6" w:rsidRPr="006B681B">
        <w:rPr>
          <w:rFonts w:ascii="Times New Roman" w:eastAsia="Calibri" w:hAnsi="Times New Roman" w:cs="Times New Roman"/>
          <w:sz w:val="26"/>
          <w:szCs w:val="26"/>
          <w:lang w:eastAsia="ru-RU"/>
        </w:rPr>
        <w:t>8</w:t>
      </w:r>
      <w:r w:rsidRPr="006B681B">
        <w:rPr>
          <w:rFonts w:ascii="Times New Roman" w:eastAsia="Calibri" w:hAnsi="Times New Roman" w:cs="Times New Roman"/>
          <w:sz w:val="26"/>
          <w:szCs w:val="26"/>
          <w:lang w:eastAsia="ru-RU"/>
        </w:rPr>
        <w:t xml:space="preserve"> году.</w:t>
      </w:r>
      <w:r w:rsidR="008578F6" w:rsidRPr="006B681B">
        <w:rPr>
          <w:rFonts w:ascii="Times New Roman" w:eastAsia="Calibri" w:hAnsi="Times New Roman" w:cs="Times New Roman"/>
          <w:sz w:val="26"/>
          <w:szCs w:val="26"/>
          <w:lang w:eastAsia="ru-RU"/>
        </w:rPr>
        <w:t xml:space="preserve"> </w:t>
      </w:r>
      <w:r w:rsidR="003764EB" w:rsidRPr="006B681B">
        <w:rPr>
          <w:rFonts w:ascii="Times New Roman" w:eastAsia="Calibri" w:hAnsi="Times New Roman" w:cs="Times New Roman"/>
          <w:sz w:val="26"/>
          <w:szCs w:val="26"/>
          <w:lang w:eastAsia="ru-RU"/>
        </w:rPr>
        <w:t>В 201</w:t>
      </w:r>
      <w:r w:rsidR="005018AB" w:rsidRPr="006B681B">
        <w:rPr>
          <w:rFonts w:ascii="Times New Roman" w:eastAsia="Calibri" w:hAnsi="Times New Roman" w:cs="Times New Roman"/>
          <w:sz w:val="26"/>
          <w:szCs w:val="26"/>
          <w:lang w:eastAsia="ru-RU"/>
        </w:rPr>
        <w:t>5</w:t>
      </w:r>
      <w:r w:rsidR="003764EB" w:rsidRPr="006B681B">
        <w:rPr>
          <w:rFonts w:ascii="Times New Roman" w:eastAsia="Calibri" w:hAnsi="Times New Roman" w:cs="Times New Roman"/>
          <w:sz w:val="26"/>
          <w:szCs w:val="26"/>
          <w:lang w:eastAsia="ru-RU"/>
        </w:rPr>
        <w:t xml:space="preserve"> году реальные располагаемые доходы населения по оценке составят </w:t>
      </w:r>
      <w:r w:rsidR="00B13E9A" w:rsidRPr="006B681B">
        <w:rPr>
          <w:rFonts w:ascii="Times New Roman" w:eastAsia="Calibri" w:hAnsi="Times New Roman" w:cs="Times New Roman"/>
          <w:sz w:val="26"/>
          <w:szCs w:val="26"/>
          <w:lang w:eastAsia="ru-RU"/>
        </w:rPr>
        <w:t>91,4</w:t>
      </w:r>
      <w:r w:rsidR="003764EB" w:rsidRPr="006B681B">
        <w:rPr>
          <w:rFonts w:ascii="Times New Roman" w:eastAsia="Calibri" w:hAnsi="Times New Roman" w:cs="Times New Roman"/>
          <w:sz w:val="26"/>
          <w:szCs w:val="26"/>
          <w:lang w:eastAsia="ru-RU"/>
        </w:rPr>
        <w:t xml:space="preserve">% к предыдущему году. </w:t>
      </w:r>
      <w:r w:rsidR="00F05A30" w:rsidRPr="006B681B">
        <w:rPr>
          <w:rFonts w:ascii="Times New Roman" w:eastAsia="Calibri" w:hAnsi="Times New Roman" w:cs="Times New Roman"/>
          <w:sz w:val="26"/>
          <w:szCs w:val="26"/>
          <w:lang w:eastAsia="ru-RU"/>
        </w:rPr>
        <w:t xml:space="preserve">Рост доходов населения в среднесрочном периоде будет идти умеренными темпами. </w:t>
      </w:r>
      <w:r w:rsidR="00BF71D0" w:rsidRPr="006B681B">
        <w:rPr>
          <w:rFonts w:ascii="Times New Roman" w:eastAsia="Calibri" w:hAnsi="Times New Roman" w:cs="Times New Roman"/>
          <w:sz w:val="26"/>
          <w:szCs w:val="26"/>
          <w:lang w:eastAsia="ru-RU"/>
        </w:rPr>
        <w:t xml:space="preserve">По предварительной оценке, </w:t>
      </w:r>
      <w:r w:rsidR="00F05A30" w:rsidRPr="006B681B">
        <w:rPr>
          <w:rFonts w:ascii="Times New Roman" w:eastAsia="Calibri" w:hAnsi="Times New Roman" w:cs="Times New Roman"/>
          <w:sz w:val="26"/>
          <w:szCs w:val="26"/>
          <w:lang w:eastAsia="ru-RU"/>
        </w:rPr>
        <w:t>за 201</w:t>
      </w:r>
      <w:r w:rsidR="005018AB" w:rsidRPr="006B681B">
        <w:rPr>
          <w:rFonts w:ascii="Times New Roman" w:eastAsia="Calibri" w:hAnsi="Times New Roman" w:cs="Times New Roman"/>
          <w:sz w:val="26"/>
          <w:szCs w:val="26"/>
          <w:lang w:eastAsia="ru-RU"/>
        </w:rPr>
        <w:t>5</w:t>
      </w:r>
      <w:r w:rsidR="00F05A30" w:rsidRPr="006B681B">
        <w:rPr>
          <w:rFonts w:ascii="Times New Roman" w:eastAsia="Calibri" w:hAnsi="Times New Roman" w:cs="Times New Roman"/>
          <w:sz w:val="26"/>
          <w:szCs w:val="26"/>
          <w:lang w:eastAsia="ru-RU"/>
        </w:rPr>
        <w:t xml:space="preserve"> - 201</w:t>
      </w:r>
      <w:r w:rsidR="005018AB" w:rsidRPr="006B681B">
        <w:rPr>
          <w:rFonts w:ascii="Times New Roman" w:eastAsia="Calibri" w:hAnsi="Times New Roman" w:cs="Times New Roman"/>
          <w:sz w:val="26"/>
          <w:szCs w:val="26"/>
          <w:lang w:eastAsia="ru-RU"/>
        </w:rPr>
        <w:t>8</w:t>
      </w:r>
      <w:r w:rsidR="00F05A30" w:rsidRPr="006B681B">
        <w:rPr>
          <w:rFonts w:ascii="Times New Roman" w:eastAsia="Calibri" w:hAnsi="Times New Roman" w:cs="Times New Roman"/>
          <w:sz w:val="26"/>
          <w:szCs w:val="26"/>
          <w:lang w:eastAsia="ru-RU"/>
        </w:rPr>
        <w:t xml:space="preserve"> годы номинальная заработная плата увеличится на </w:t>
      </w:r>
      <w:r w:rsidR="00B13E9A" w:rsidRPr="006B681B">
        <w:rPr>
          <w:rFonts w:ascii="Times New Roman" w:eastAsia="Calibri" w:hAnsi="Times New Roman" w:cs="Times New Roman"/>
          <w:sz w:val="26"/>
          <w:szCs w:val="26"/>
          <w:lang w:eastAsia="ru-RU"/>
        </w:rPr>
        <w:t>22,5</w:t>
      </w:r>
      <w:r w:rsidR="00F05A30" w:rsidRPr="006B681B">
        <w:rPr>
          <w:rFonts w:ascii="Times New Roman" w:eastAsia="Calibri" w:hAnsi="Times New Roman" w:cs="Times New Roman"/>
          <w:sz w:val="26"/>
          <w:szCs w:val="26"/>
          <w:lang w:eastAsia="ru-RU"/>
        </w:rPr>
        <w:t xml:space="preserve">%, денежные доходы населения - на </w:t>
      </w:r>
      <w:r w:rsidR="00B13E9A" w:rsidRPr="006B681B">
        <w:rPr>
          <w:rFonts w:ascii="Times New Roman" w:eastAsia="Calibri" w:hAnsi="Times New Roman" w:cs="Times New Roman"/>
          <w:sz w:val="26"/>
          <w:szCs w:val="26"/>
          <w:lang w:eastAsia="ru-RU"/>
        </w:rPr>
        <w:t>16,2</w:t>
      </w:r>
      <w:r w:rsidR="00F05A30" w:rsidRPr="006B681B">
        <w:rPr>
          <w:rFonts w:ascii="Times New Roman" w:eastAsia="Calibri" w:hAnsi="Times New Roman" w:cs="Times New Roman"/>
          <w:sz w:val="26"/>
          <w:szCs w:val="26"/>
          <w:lang w:eastAsia="ru-RU"/>
        </w:rPr>
        <w:t>%.</w:t>
      </w:r>
      <w:r w:rsidR="003764EB" w:rsidRPr="006B681B">
        <w:rPr>
          <w:rFonts w:ascii="Times New Roman" w:eastAsia="Calibri" w:hAnsi="Times New Roman" w:cs="Times New Roman"/>
          <w:sz w:val="26"/>
          <w:szCs w:val="26"/>
          <w:lang w:eastAsia="ru-RU"/>
        </w:rPr>
        <w:t xml:space="preserve"> </w:t>
      </w:r>
    </w:p>
    <w:p w:rsidR="00441384" w:rsidRPr="006B681B" w:rsidRDefault="00905B58"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По оценке расходы населения в 201</w:t>
      </w:r>
      <w:r w:rsidR="002D2C50" w:rsidRPr="006B681B">
        <w:rPr>
          <w:rFonts w:ascii="Times New Roman" w:eastAsia="Calibri" w:hAnsi="Times New Roman" w:cs="Times New Roman"/>
          <w:sz w:val="26"/>
          <w:szCs w:val="26"/>
          <w:lang w:eastAsia="ru-RU"/>
        </w:rPr>
        <w:t>5</w:t>
      </w:r>
      <w:r w:rsidRPr="006B681B">
        <w:rPr>
          <w:rFonts w:ascii="Times New Roman" w:eastAsia="Calibri" w:hAnsi="Times New Roman" w:cs="Times New Roman"/>
          <w:sz w:val="26"/>
          <w:szCs w:val="26"/>
          <w:lang w:eastAsia="ru-RU"/>
        </w:rPr>
        <w:t xml:space="preserve"> году составят </w:t>
      </w:r>
      <w:r w:rsidR="00B13E9A" w:rsidRPr="006B681B">
        <w:rPr>
          <w:rFonts w:ascii="Times New Roman" w:eastAsia="Calibri" w:hAnsi="Times New Roman" w:cs="Times New Roman"/>
          <w:sz w:val="26"/>
          <w:szCs w:val="26"/>
          <w:lang w:eastAsia="ru-RU"/>
        </w:rPr>
        <w:t>27 357,5</w:t>
      </w:r>
      <w:r w:rsidRPr="006B681B">
        <w:rPr>
          <w:rFonts w:ascii="Times New Roman" w:eastAsia="Calibri" w:hAnsi="Times New Roman" w:cs="Times New Roman"/>
          <w:sz w:val="26"/>
          <w:szCs w:val="26"/>
          <w:lang w:eastAsia="ru-RU"/>
        </w:rPr>
        <w:t xml:space="preserve"> млн. рублей</w:t>
      </w:r>
      <w:r w:rsidR="00B13E9A" w:rsidRPr="006B681B">
        <w:rPr>
          <w:rFonts w:ascii="Times New Roman" w:eastAsia="Calibri" w:hAnsi="Times New Roman" w:cs="Times New Roman"/>
          <w:sz w:val="26"/>
          <w:szCs w:val="26"/>
          <w:lang w:eastAsia="ru-RU"/>
        </w:rPr>
        <w:t>, или 99,3% к уровню 2014 года</w:t>
      </w:r>
      <w:r w:rsidR="00441384" w:rsidRPr="006B681B">
        <w:rPr>
          <w:rFonts w:ascii="Times New Roman" w:eastAsia="Calibri" w:hAnsi="Times New Roman" w:cs="Times New Roman"/>
          <w:sz w:val="26"/>
          <w:szCs w:val="26"/>
          <w:lang w:eastAsia="ru-RU"/>
        </w:rPr>
        <w:t xml:space="preserve">. В последующие годы среднегодовой темп прироста расходов планируется </w:t>
      </w:r>
      <w:r w:rsidR="00275329" w:rsidRPr="006B681B">
        <w:rPr>
          <w:rFonts w:ascii="Times New Roman" w:eastAsia="Calibri" w:hAnsi="Times New Roman" w:cs="Times New Roman"/>
          <w:sz w:val="26"/>
          <w:szCs w:val="26"/>
          <w:lang w:eastAsia="ru-RU"/>
        </w:rPr>
        <w:t xml:space="preserve">в среднем </w:t>
      </w:r>
      <w:r w:rsidR="00441384" w:rsidRPr="006B681B">
        <w:rPr>
          <w:rFonts w:ascii="Times New Roman" w:eastAsia="Calibri" w:hAnsi="Times New Roman" w:cs="Times New Roman"/>
          <w:sz w:val="26"/>
          <w:szCs w:val="26"/>
          <w:lang w:eastAsia="ru-RU"/>
        </w:rPr>
        <w:t xml:space="preserve">на уровне </w:t>
      </w:r>
      <w:r w:rsidR="00B13E9A" w:rsidRPr="006B681B">
        <w:rPr>
          <w:rFonts w:ascii="Times New Roman" w:eastAsia="Calibri" w:hAnsi="Times New Roman" w:cs="Times New Roman"/>
          <w:sz w:val="26"/>
          <w:szCs w:val="26"/>
          <w:lang w:eastAsia="ru-RU"/>
        </w:rPr>
        <w:t>5,5</w:t>
      </w:r>
      <w:r w:rsidR="00441384" w:rsidRPr="006B681B">
        <w:rPr>
          <w:rFonts w:ascii="Times New Roman" w:eastAsia="Calibri" w:hAnsi="Times New Roman" w:cs="Times New Roman"/>
          <w:sz w:val="26"/>
          <w:szCs w:val="26"/>
          <w:lang w:eastAsia="ru-RU"/>
        </w:rPr>
        <w:t xml:space="preserve">%. </w:t>
      </w:r>
    </w:p>
    <w:p w:rsidR="009D50D6" w:rsidRPr="006B681B" w:rsidRDefault="00441384" w:rsidP="0022054C">
      <w:pPr>
        <w:autoSpaceDE w:val="0"/>
        <w:autoSpaceDN w:val="0"/>
        <w:adjustRightInd w:val="0"/>
        <w:spacing w:after="0" w:line="240" w:lineRule="auto"/>
        <w:ind w:firstLine="709"/>
        <w:jc w:val="both"/>
        <w:rPr>
          <w:rFonts w:ascii="Times New Roman" w:hAnsi="Times New Roman" w:cs="Times New Roman"/>
          <w:b/>
          <w:bCs/>
          <w:sz w:val="26"/>
          <w:szCs w:val="26"/>
        </w:rPr>
      </w:pPr>
      <w:r w:rsidRPr="006B681B">
        <w:rPr>
          <w:rFonts w:ascii="Times New Roman" w:eastAsia="Calibri" w:hAnsi="Times New Roman" w:cs="Times New Roman"/>
          <w:sz w:val="26"/>
          <w:szCs w:val="26"/>
          <w:lang w:eastAsia="ru-RU"/>
        </w:rPr>
        <w:t xml:space="preserve">Основные направления использования денежных средств – затраты на покупку товаров и оплату услуг. </w:t>
      </w:r>
    </w:p>
    <w:p w:rsidR="00157C76" w:rsidRPr="006B681B" w:rsidRDefault="00157C76" w:rsidP="0022054C">
      <w:pPr>
        <w:spacing w:after="0" w:line="240" w:lineRule="auto"/>
        <w:jc w:val="center"/>
        <w:rPr>
          <w:rFonts w:ascii="Times New Roman" w:hAnsi="Times New Roman" w:cs="Times New Roman"/>
          <w:b/>
          <w:bCs/>
          <w:sz w:val="26"/>
          <w:szCs w:val="26"/>
        </w:rPr>
      </w:pPr>
    </w:p>
    <w:p w:rsidR="00724288" w:rsidRPr="006B681B" w:rsidRDefault="00BF0565" w:rsidP="0022054C">
      <w:pPr>
        <w:pStyle w:val="1"/>
        <w:spacing w:before="0" w:line="240" w:lineRule="auto"/>
        <w:jc w:val="center"/>
        <w:rPr>
          <w:rFonts w:ascii="Times New Roman" w:hAnsi="Times New Roman" w:cs="Times New Roman"/>
          <w:b/>
          <w:bCs/>
          <w:color w:val="auto"/>
          <w:sz w:val="26"/>
          <w:szCs w:val="26"/>
        </w:rPr>
      </w:pPr>
      <w:bookmarkStart w:id="10" w:name="_Toc435801072"/>
      <w:r w:rsidRPr="006B681B">
        <w:rPr>
          <w:rFonts w:ascii="Times New Roman" w:hAnsi="Times New Roman" w:cs="Times New Roman"/>
          <w:b/>
          <w:bCs/>
          <w:color w:val="auto"/>
          <w:sz w:val="26"/>
          <w:szCs w:val="26"/>
        </w:rPr>
        <w:t xml:space="preserve">6. </w:t>
      </w:r>
      <w:r w:rsidR="00BD5461" w:rsidRPr="006B681B">
        <w:rPr>
          <w:rFonts w:ascii="Times New Roman" w:hAnsi="Times New Roman" w:cs="Times New Roman"/>
          <w:b/>
          <w:bCs/>
          <w:color w:val="auto"/>
          <w:sz w:val="26"/>
          <w:szCs w:val="26"/>
        </w:rPr>
        <w:t>Труд и занятость</w:t>
      </w:r>
      <w:bookmarkEnd w:id="10"/>
    </w:p>
    <w:p w:rsidR="00724288" w:rsidRPr="006B681B" w:rsidRDefault="00724288" w:rsidP="0022054C">
      <w:pPr>
        <w:spacing w:after="0" w:line="240" w:lineRule="auto"/>
        <w:jc w:val="center"/>
        <w:rPr>
          <w:rFonts w:ascii="Times New Roman" w:hAnsi="Times New Roman" w:cs="Times New Roman"/>
          <w:b/>
          <w:bCs/>
          <w:sz w:val="26"/>
          <w:szCs w:val="26"/>
        </w:rPr>
      </w:pP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На развитие сферы занятости в прогнозном периоде будет оказывать влияние развитие экономической ситуации в стране, демографические факторы, потребность работодателей в рабочей силе, а также эффективность реализации мер по регулированию ситуации на рынке труда. </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Трудовые ресурсы города в 2015 году по оценке составят </w:t>
      </w:r>
      <w:r w:rsidR="00F83212" w:rsidRPr="006B681B">
        <w:rPr>
          <w:rFonts w:ascii="Times New Roman" w:hAnsi="Times New Roman" w:cs="Times New Roman"/>
          <w:sz w:val="26"/>
          <w:szCs w:val="26"/>
        </w:rPr>
        <w:t>42,84</w:t>
      </w:r>
      <w:r w:rsidRPr="006B681B">
        <w:rPr>
          <w:rFonts w:ascii="Times New Roman" w:hAnsi="Times New Roman" w:cs="Times New Roman"/>
          <w:sz w:val="26"/>
          <w:szCs w:val="26"/>
        </w:rPr>
        <w:t xml:space="preserve"> тыс. человек или </w:t>
      </w:r>
      <w:r w:rsidR="00F83212" w:rsidRPr="006B681B">
        <w:rPr>
          <w:rFonts w:ascii="Times New Roman" w:hAnsi="Times New Roman" w:cs="Times New Roman"/>
          <w:sz w:val="26"/>
          <w:szCs w:val="26"/>
        </w:rPr>
        <w:t>100,6</w:t>
      </w:r>
      <w:r w:rsidRPr="006B681B">
        <w:rPr>
          <w:rFonts w:ascii="Times New Roman" w:hAnsi="Times New Roman" w:cs="Times New Roman"/>
          <w:sz w:val="26"/>
          <w:szCs w:val="26"/>
        </w:rPr>
        <w:t xml:space="preserve">% к уровню 2014 года. В прогнозном периоде планируется увеличение трудовых ресурсов </w:t>
      </w:r>
      <w:r w:rsidR="00F83212" w:rsidRPr="006B681B">
        <w:rPr>
          <w:rFonts w:ascii="Times New Roman" w:hAnsi="Times New Roman" w:cs="Times New Roman"/>
          <w:sz w:val="26"/>
          <w:szCs w:val="26"/>
        </w:rPr>
        <w:t xml:space="preserve">в 2018 году </w:t>
      </w:r>
      <w:r w:rsidRPr="006B681B">
        <w:rPr>
          <w:rFonts w:ascii="Times New Roman" w:hAnsi="Times New Roman" w:cs="Times New Roman"/>
          <w:sz w:val="26"/>
          <w:szCs w:val="26"/>
        </w:rPr>
        <w:t xml:space="preserve">до </w:t>
      </w:r>
      <w:r w:rsidR="00F83212" w:rsidRPr="006B681B">
        <w:rPr>
          <w:rFonts w:ascii="Times New Roman" w:hAnsi="Times New Roman" w:cs="Times New Roman"/>
          <w:sz w:val="26"/>
          <w:szCs w:val="26"/>
        </w:rPr>
        <w:t>43,0</w:t>
      </w:r>
      <w:r w:rsidRPr="006B681B">
        <w:rPr>
          <w:rFonts w:ascii="Times New Roman" w:hAnsi="Times New Roman" w:cs="Times New Roman"/>
          <w:sz w:val="26"/>
          <w:szCs w:val="26"/>
        </w:rPr>
        <w:t xml:space="preserve"> т</w:t>
      </w:r>
      <w:r w:rsidR="00F83212" w:rsidRPr="006B681B">
        <w:rPr>
          <w:rFonts w:ascii="Times New Roman" w:hAnsi="Times New Roman" w:cs="Times New Roman"/>
          <w:sz w:val="26"/>
          <w:szCs w:val="26"/>
        </w:rPr>
        <w:t>ыс. человек по 1 варианту, до 43</w:t>
      </w:r>
      <w:r w:rsidRPr="006B681B">
        <w:rPr>
          <w:rFonts w:ascii="Times New Roman" w:hAnsi="Times New Roman" w:cs="Times New Roman"/>
          <w:sz w:val="26"/>
          <w:szCs w:val="26"/>
        </w:rPr>
        <w:t>,5 тыс. человек – по 2 варианту.</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Среднегодовая численность занятых в экономике города в 2015 году по оценке составит </w:t>
      </w:r>
      <w:r w:rsidR="00F83212" w:rsidRPr="006B681B">
        <w:rPr>
          <w:rFonts w:ascii="Times New Roman" w:hAnsi="Times New Roman" w:cs="Times New Roman"/>
          <w:sz w:val="26"/>
          <w:szCs w:val="26"/>
        </w:rPr>
        <w:t>35,8</w:t>
      </w:r>
      <w:r w:rsidRPr="006B681B">
        <w:rPr>
          <w:rFonts w:ascii="Times New Roman" w:hAnsi="Times New Roman" w:cs="Times New Roman"/>
          <w:sz w:val="26"/>
          <w:szCs w:val="26"/>
        </w:rPr>
        <w:t xml:space="preserve"> тыс. человек</w:t>
      </w:r>
      <w:r w:rsidR="006833D9" w:rsidRPr="006B681B">
        <w:rPr>
          <w:rFonts w:ascii="Times New Roman" w:hAnsi="Times New Roman" w:cs="Times New Roman"/>
          <w:sz w:val="26"/>
          <w:szCs w:val="26"/>
        </w:rPr>
        <w:t xml:space="preserve"> или </w:t>
      </w:r>
      <w:r w:rsidR="00F83212" w:rsidRPr="006B681B">
        <w:rPr>
          <w:rFonts w:ascii="Times New Roman" w:hAnsi="Times New Roman" w:cs="Times New Roman"/>
          <w:sz w:val="26"/>
          <w:szCs w:val="26"/>
        </w:rPr>
        <w:t>96,5</w:t>
      </w:r>
      <w:r w:rsidRPr="006B681B">
        <w:rPr>
          <w:rFonts w:ascii="Times New Roman" w:hAnsi="Times New Roman" w:cs="Times New Roman"/>
          <w:sz w:val="26"/>
          <w:szCs w:val="26"/>
        </w:rPr>
        <w:t>% к уровню 2014 года. В 2013-2014 годах наблюдается снижение среднесписочной численности работающих на крупных и средних организациях города, так в 201</w:t>
      </w:r>
      <w:r w:rsidR="00A838FD" w:rsidRPr="006B681B">
        <w:rPr>
          <w:rFonts w:ascii="Times New Roman" w:hAnsi="Times New Roman" w:cs="Times New Roman"/>
          <w:sz w:val="26"/>
          <w:szCs w:val="26"/>
        </w:rPr>
        <w:t>3 году снижение составило 98,2</w:t>
      </w:r>
      <w:r w:rsidRPr="006B681B">
        <w:rPr>
          <w:rFonts w:ascii="Times New Roman" w:hAnsi="Times New Roman" w:cs="Times New Roman"/>
          <w:sz w:val="26"/>
          <w:szCs w:val="26"/>
        </w:rPr>
        <w:t>%</w:t>
      </w:r>
      <w:r w:rsidR="00F83212" w:rsidRPr="006B681B">
        <w:rPr>
          <w:rFonts w:ascii="Times New Roman" w:hAnsi="Times New Roman" w:cs="Times New Roman"/>
          <w:sz w:val="26"/>
          <w:szCs w:val="26"/>
        </w:rPr>
        <w:t xml:space="preserve"> к 2012 году, в 2014 году - 97,</w:t>
      </w:r>
      <w:r w:rsidR="00A838FD" w:rsidRPr="006B681B">
        <w:rPr>
          <w:rFonts w:ascii="Times New Roman" w:hAnsi="Times New Roman" w:cs="Times New Roman"/>
          <w:sz w:val="26"/>
          <w:szCs w:val="26"/>
        </w:rPr>
        <w:t>5</w:t>
      </w:r>
      <w:r w:rsidRPr="006B681B">
        <w:rPr>
          <w:rFonts w:ascii="Times New Roman" w:hAnsi="Times New Roman" w:cs="Times New Roman"/>
          <w:sz w:val="26"/>
          <w:szCs w:val="26"/>
        </w:rPr>
        <w:t>% к 2013 году. Наибольшее снижение численности работающих отмечено на предприятиях отрасли обрабатывающего производства – 51,5% к 2013 году, а именно в производстве электрооборудования, электронного и оптического о</w:t>
      </w:r>
      <w:r w:rsidR="00AE6093" w:rsidRPr="006B681B">
        <w:rPr>
          <w:rFonts w:ascii="Times New Roman" w:hAnsi="Times New Roman" w:cs="Times New Roman"/>
          <w:sz w:val="26"/>
          <w:szCs w:val="26"/>
        </w:rPr>
        <w:t>борудования – 36,8% к 2013 году;</w:t>
      </w:r>
      <w:r w:rsidRPr="006B681B">
        <w:rPr>
          <w:rFonts w:ascii="Times New Roman" w:hAnsi="Times New Roman" w:cs="Times New Roman"/>
          <w:sz w:val="26"/>
          <w:szCs w:val="26"/>
        </w:rPr>
        <w:t xml:space="preserve"> в сфере строительства – 80,5% к 2013 году, а именно в строительстве зданий и сооружений – 66,5% к 2013 году</w:t>
      </w:r>
      <w:r w:rsidR="00AE6093" w:rsidRPr="006B681B">
        <w:rPr>
          <w:rFonts w:ascii="Times New Roman" w:hAnsi="Times New Roman" w:cs="Times New Roman"/>
          <w:sz w:val="26"/>
          <w:szCs w:val="26"/>
        </w:rPr>
        <w:t>;</w:t>
      </w:r>
      <w:r w:rsidRPr="006B681B">
        <w:rPr>
          <w:rFonts w:ascii="Times New Roman" w:hAnsi="Times New Roman" w:cs="Times New Roman"/>
          <w:sz w:val="26"/>
          <w:szCs w:val="26"/>
        </w:rPr>
        <w:t xml:space="preserve"> в сфере оптовой и розничной торговли – 81,</w:t>
      </w:r>
      <w:r w:rsidR="00AE6093" w:rsidRPr="006B681B">
        <w:rPr>
          <w:rFonts w:ascii="Times New Roman" w:hAnsi="Times New Roman" w:cs="Times New Roman"/>
          <w:sz w:val="26"/>
          <w:szCs w:val="26"/>
        </w:rPr>
        <w:t>6% к 2013 году;</w:t>
      </w:r>
      <w:r w:rsidRPr="006B681B">
        <w:rPr>
          <w:rFonts w:ascii="Times New Roman" w:hAnsi="Times New Roman" w:cs="Times New Roman"/>
          <w:sz w:val="26"/>
          <w:szCs w:val="26"/>
        </w:rPr>
        <w:t xml:space="preserve"> предоставление прочих коммунальных, социальных и персональных услуг – 82,5%.</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прогнозном периоде предполагается рост среднегодовой численности занятых в экономике города до </w:t>
      </w:r>
      <w:r w:rsidR="00F83212" w:rsidRPr="006B681B">
        <w:rPr>
          <w:rFonts w:ascii="Times New Roman" w:hAnsi="Times New Roman" w:cs="Times New Roman"/>
          <w:sz w:val="26"/>
          <w:szCs w:val="26"/>
        </w:rPr>
        <w:t>36,09</w:t>
      </w:r>
      <w:r w:rsidRPr="006B681B">
        <w:rPr>
          <w:rFonts w:ascii="Times New Roman" w:hAnsi="Times New Roman" w:cs="Times New Roman"/>
          <w:sz w:val="26"/>
          <w:szCs w:val="26"/>
        </w:rPr>
        <w:t xml:space="preserve"> тыс. человек к 2018 году</w:t>
      </w:r>
      <w:r w:rsidR="00F83212" w:rsidRPr="006B681B">
        <w:rPr>
          <w:rFonts w:ascii="Times New Roman" w:hAnsi="Times New Roman" w:cs="Times New Roman"/>
          <w:sz w:val="26"/>
          <w:szCs w:val="26"/>
        </w:rPr>
        <w:t xml:space="preserve"> в условиях 1 варианта и до 36,96</w:t>
      </w:r>
      <w:r w:rsidRPr="006B681B">
        <w:rPr>
          <w:rFonts w:ascii="Times New Roman" w:hAnsi="Times New Roman" w:cs="Times New Roman"/>
          <w:sz w:val="26"/>
          <w:szCs w:val="26"/>
        </w:rPr>
        <w:t xml:space="preserve"> тыс. человек в условиях 2 варианта. </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Количество безработных, официально зарегистрированных в органах службы занятости, в 2015 году по оценке составит 0,14 тыс. человек. Коэффициент напряженности составит 0,25 незанятых на 1 вакансию.</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Уровень зарегистрированной безработицы </w:t>
      </w:r>
      <w:r w:rsidR="002541D7" w:rsidRPr="006B681B">
        <w:rPr>
          <w:rFonts w:ascii="Times New Roman" w:hAnsi="Times New Roman" w:cs="Times New Roman"/>
          <w:sz w:val="26"/>
          <w:szCs w:val="26"/>
        </w:rPr>
        <w:t>в 2015 году составит 0,39</w:t>
      </w:r>
      <w:r w:rsidRPr="006B681B">
        <w:rPr>
          <w:rFonts w:ascii="Times New Roman" w:hAnsi="Times New Roman" w:cs="Times New Roman"/>
          <w:sz w:val="26"/>
          <w:szCs w:val="26"/>
        </w:rPr>
        <w:t>% от экономически активного населения (2014 год – 0,35), в среднесрочном периоде данный показател</w:t>
      </w:r>
      <w:r w:rsidR="002541D7" w:rsidRPr="006B681B">
        <w:rPr>
          <w:rFonts w:ascii="Times New Roman" w:hAnsi="Times New Roman" w:cs="Times New Roman"/>
          <w:sz w:val="26"/>
          <w:szCs w:val="26"/>
        </w:rPr>
        <w:t>ь предполагается снизить до 0,35</w:t>
      </w:r>
      <w:r w:rsidRPr="006B681B">
        <w:rPr>
          <w:rFonts w:ascii="Times New Roman" w:hAnsi="Times New Roman" w:cs="Times New Roman"/>
          <w:sz w:val="26"/>
          <w:szCs w:val="26"/>
        </w:rPr>
        <w:t xml:space="preserve">% </w:t>
      </w:r>
      <w:r w:rsidR="002541D7" w:rsidRPr="006B681B">
        <w:rPr>
          <w:rFonts w:ascii="Times New Roman" w:hAnsi="Times New Roman" w:cs="Times New Roman"/>
          <w:sz w:val="26"/>
          <w:szCs w:val="26"/>
        </w:rPr>
        <w:t>в 2018 году</w:t>
      </w:r>
      <w:r w:rsidRPr="006B681B">
        <w:rPr>
          <w:rFonts w:ascii="Times New Roman" w:hAnsi="Times New Roman" w:cs="Times New Roman"/>
          <w:sz w:val="26"/>
          <w:szCs w:val="26"/>
        </w:rPr>
        <w:t xml:space="preserve"> по 2 варианту.</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Наибольшая потребность в трудовых ресурсах сложилась в </w:t>
      </w:r>
      <w:r w:rsidR="00711332" w:rsidRPr="006B681B">
        <w:rPr>
          <w:rFonts w:ascii="Times New Roman" w:hAnsi="Times New Roman" w:cs="Times New Roman"/>
          <w:sz w:val="26"/>
          <w:szCs w:val="26"/>
        </w:rPr>
        <w:t>следующих сферах:</w:t>
      </w:r>
      <w:r w:rsidRPr="006B681B">
        <w:rPr>
          <w:rFonts w:ascii="Times New Roman" w:hAnsi="Times New Roman" w:cs="Times New Roman"/>
          <w:sz w:val="26"/>
          <w:szCs w:val="26"/>
        </w:rPr>
        <w:t xml:space="preserve"> операции с недвижимым имуществом, аренда и предоставление услуг – 20,7%, транспорт и связь – 19,4%, добыча полезных ископаемых – 18%, образование – 9,2%.</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рамках реализации мероприятий по содействию занятости населения и стабилизации ситуации на рынке труда, казенным учреждением Ханты-Мансийского автономного округа – Югры «Когалымский центр занятости населения» (далее – Центр занятости) в постоянном режиме ведется работа с работодателями города Когалыма.</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Основными мероприятиями, содействующими трудоустройству безработных граждан, являются:</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общественные работы;</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временное трудоустройство граждан, испытывающих трудности в поиске работы;</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трудоустройство несовершеннолетних граждан;</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организация ярмарок вакансий рабочих мест;</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профессиональное обучение;</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профессиональная профориентация;</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содействие трудоустройству незанятых инвалидов, одиноких родителей, воспитывающих детей-инвалидов, многодетных родителей, через создание дополнительных постоянных рабочих мест.</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целях содействия повышения эффективной занятости населения, развития продуктивной занятости молодых граждан в городе Когалыме, сдерживания роста безработицы и снижения напряжённости на рынке труда, в городе реализуется муниципальная программа «Содействие занятости населения города Когалыма на 2014 - 2017 годы» (утверждена постановлением Администрации города Когалыма от 11.10.2013 №2901</w:t>
      </w:r>
      <w:r w:rsidR="00D3158B" w:rsidRPr="006B681B">
        <w:rPr>
          <w:rFonts w:ascii="Times New Roman" w:hAnsi="Times New Roman" w:cs="Times New Roman"/>
          <w:sz w:val="26"/>
          <w:szCs w:val="26"/>
        </w:rPr>
        <w:t>).</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Кроме того, Центром занятости реализуются </w:t>
      </w:r>
      <w:r w:rsidR="00D3158B" w:rsidRPr="006B681B">
        <w:rPr>
          <w:rFonts w:ascii="Times New Roman" w:hAnsi="Times New Roman" w:cs="Times New Roman"/>
          <w:sz w:val="26"/>
          <w:szCs w:val="26"/>
        </w:rPr>
        <w:t>мероприятия</w:t>
      </w:r>
      <w:r w:rsidRPr="006B681B">
        <w:rPr>
          <w:rFonts w:ascii="Times New Roman" w:hAnsi="Times New Roman" w:cs="Times New Roman"/>
          <w:sz w:val="26"/>
          <w:szCs w:val="26"/>
        </w:rPr>
        <w:t xml:space="preserve"> государственной программы «Содействие занятости населения в Ханты – Мансийском автономном округе – Югре на 2014-2020 годы». </w:t>
      </w:r>
    </w:p>
    <w:p w:rsidR="005F79A6" w:rsidRPr="006B681B" w:rsidRDefault="005F79A6"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Всего в 2014 году на реализацию мероприятий муниципальной и государственной программ было израсходовано 38 108,3 тыс. рублей, трудоустроено 1 090 человек.</w:t>
      </w:r>
    </w:p>
    <w:p w:rsidR="005F79A6" w:rsidRPr="006B681B" w:rsidRDefault="00D3158B"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Реализация мероприятий по содействию занятости населения </w:t>
      </w:r>
      <w:r w:rsidR="005F79A6" w:rsidRPr="006B681B">
        <w:rPr>
          <w:rFonts w:ascii="Times New Roman" w:hAnsi="Times New Roman" w:cs="Times New Roman"/>
          <w:sz w:val="26"/>
          <w:szCs w:val="26"/>
        </w:rPr>
        <w:t>позволит сохранить позитивные тенденции на рынке труда и удержать регистрируемую безработиц</w:t>
      </w:r>
      <w:r w:rsidR="00EE1E38" w:rsidRPr="006B681B">
        <w:rPr>
          <w:rFonts w:ascii="Times New Roman" w:hAnsi="Times New Roman" w:cs="Times New Roman"/>
          <w:sz w:val="26"/>
          <w:szCs w:val="26"/>
        </w:rPr>
        <w:t>у на уровне 130 человек или 0,35</w:t>
      </w:r>
      <w:r w:rsidR="005F79A6" w:rsidRPr="006B681B">
        <w:rPr>
          <w:rFonts w:ascii="Times New Roman" w:hAnsi="Times New Roman" w:cs="Times New Roman"/>
          <w:sz w:val="26"/>
          <w:szCs w:val="26"/>
        </w:rPr>
        <w:t xml:space="preserve">% от экономически активного населения </w:t>
      </w:r>
      <w:r w:rsidR="00C6537B">
        <w:rPr>
          <w:rFonts w:ascii="Times New Roman" w:hAnsi="Times New Roman" w:cs="Times New Roman"/>
          <w:sz w:val="26"/>
          <w:szCs w:val="26"/>
        </w:rPr>
        <w:t>к</w:t>
      </w:r>
      <w:r w:rsidR="005F79A6" w:rsidRPr="006B681B">
        <w:rPr>
          <w:rFonts w:ascii="Times New Roman" w:hAnsi="Times New Roman" w:cs="Times New Roman"/>
          <w:sz w:val="26"/>
          <w:szCs w:val="26"/>
        </w:rPr>
        <w:t xml:space="preserve"> конц</w:t>
      </w:r>
      <w:r w:rsidR="00C6537B">
        <w:rPr>
          <w:rFonts w:ascii="Times New Roman" w:hAnsi="Times New Roman" w:cs="Times New Roman"/>
          <w:sz w:val="26"/>
          <w:szCs w:val="26"/>
        </w:rPr>
        <w:t>у</w:t>
      </w:r>
      <w:r w:rsidR="005F79A6" w:rsidRPr="006B681B">
        <w:rPr>
          <w:rFonts w:ascii="Times New Roman" w:hAnsi="Times New Roman" w:cs="Times New Roman"/>
          <w:sz w:val="26"/>
          <w:szCs w:val="26"/>
        </w:rPr>
        <w:t xml:space="preserve"> прогнозного периода.</w:t>
      </w:r>
    </w:p>
    <w:p w:rsidR="00E90C31" w:rsidRPr="006B681B" w:rsidRDefault="00E90C31" w:rsidP="0022054C">
      <w:pPr>
        <w:spacing w:after="0" w:line="240" w:lineRule="auto"/>
        <w:ind w:firstLine="709"/>
        <w:jc w:val="both"/>
        <w:rPr>
          <w:rFonts w:ascii="Times New Roman" w:hAnsi="Times New Roman" w:cs="Times New Roman"/>
          <w:sz w:val="26"/>
          <w:szCs w:val="26"/>
        </w:rPr>
      </w:pPr>
    </w:p>
    <w:p w:rsidR="00B02049" w:rsidRPr="006B681B" w:rsidRDefault="00D85F2D" w:rsidP="0022054C">
      <w:pPr>
        <w:pStyle w:val="1"/>
        <w:spacing w:before="0" w:line="240" w:lineRule="auto"/>
        <w:jc w:val="center"/>
        <w:rPr>
          <w:rFonts w:ascii="Times New Roman" w:hAnsi="Times New Roman" w:cs="Times New Roman"/>
          <w:b/>
          <w:color w:val="auto"/>
          <w:sz w:val="26"/>
          <w:szCs w:val="26"/>
        </w:rPr>
      </w:pPr>
      <w:bookmarkStart w:id="11" w:name="_Toc435801073"/>
      <w:r w:rsidRPr="006B681B">
        <w:rPr>
          <w:rFonts w:ascii="Times New Roman" w:hAnsi="Times New Roman" w:cs="Times New Roman"/>
          <w:b/>
          <w:color w:val="auto"/>
          <w:sz w:val="26"/>
          <w:szCs w:val="26"/>
        </w:rPr>
        <w:t xml:space="preserve">7. </w:t>
      </w:r>
      <w:r w:rsidR="001C2D2D" w:rsidRPr="006B681B">
        <w:rPr>
          <w:rFonts w:ascii="Times New Roman" w:hAnsi="Times New Roman" w:cs="Times New Roman"/>
          <w:b/>
          <w:color w:val="auto"/>
          <w:sz w:val="26"/>
          <w:szCs w:val="26"/>
        </w:rPr>
        <w:t>Демография</w:t>
      </w:r>
      <w:bookmarkEnd w:id="11"/>
    </w:p>
    <w:p w:rsidR="007A15BC" w:rsidRPr="006B681B" w:rsidRDefault="007A15BC" w:rsidP="0022054C">
      <w:pPr>
        <w:spacing w:after="0" w:line="240" w:lineRule="auto"/>
        <w:ind w:firstLine="720"/>
        <w:jc w:val="both"/>
        <w:rPr>
          <w:rFonts w:ascii="Times New Roman" w:hAnsi="Times New Roman" w:cs="Times New Roman"/>
          <w:sz w:val="26"/>
          <w:szCs w:val="26"/>
        </w:rPr>
      </w:pPr>
    </w:p>
    <w:p w:rsidR="00F22DAC" w:rsidRPr="006B681B" w:rsidRDefault="00F22DAC" w:rsidP="0022054C">
      <w:pPr>
        <w:spacing w:after="0" w:line="240" w:lineRule="auto"/>
        <w:ind w:firstLine="720"/>
        <w:jc w:val="both"/>
        <w:rPr>
          <w:rFonts w:ascii="Times New Roman" w:hAnsi="Times New Roman" w:cs="Times New Roman"/>
          <w:sz w:val="26"/>
          <w:szCs w:val="26"/>
        </w:rPr>
      </w:pPr>
      <w:r w:rsidRPr="006B681B">
        <w:rPr>
          <w:rFonts w:ascii="Times New Roman" w:hAnsi="Times New Roman" w:cs="Times New Roman"/>
          <w:sz w:val="26"/>
          <w:szCs w:val="26"/>
        </w:rPr>
        <w:t>Главным источником экономического роста и социального прогресса является человеческий потенциал.</w:t>
      </w:r>
    </w:p>
    <w:p w:rsidR="00F22DAC" w:rsidRPr="006B681B" w:rsidRDefault="00F22DAC" w:rsidP="0022054C">
      <w:pPr>
        <w:spacing w:after="0" w:line="240" w:lineRule="auto"/>
        <w:ind w:firstLine="720"/>
        <w:jc w:val="both"/>
        <w:rPr>
          <w:rFonts w:ascii="Times New Roman" w:hAnsi="Times New Roman" w:cs="Times New Roman"/>
          <w:sz w:val="26"/>
          <w:szCs w:val="26"/>
        </w:rPr>
      </w:pPr>
      <w:r w:rsidRPr="006B681B">
        <w:rPr>
          <w:rFonts w:ascii="Times New Roman" w:hAnsi="Times New Roman" w:cs="Times New Roman"/>
          <w:sz w:val="26"/>
          <w:szCs w:val="26"/>
        </w:rPr>
        <w:t xml:space="preserve">Целью развития человеческого потенциала является рост численности населения и продолжительности жизни, уровень образования, здоровье, социальная адаптация и развитие личности. </w:t>
      </w:r>
    </w:p>
    <w:p w:rsidR="005161D5" w:rsidRPr="006B681B" w:rsidRDefault="005161D5"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среднесрочной перспективе, как и на протяжении последних лет, в городе сохранится положительная динамика демографических процессов, характеризующихся устойчивым ростом численности населения.</w:t>
      </w:r>
    </w:p>
    <w:p w:rsidR="00B02049" w:rsidRPr="006B681B" w:rsidRDefault="005161D5"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С</w:t>
      </w:r>
      <w:r w:rsidR="00B02049" w:rsidRPr="006B681B">
        <w:rPr>
          <w:rFonts w:ascii="Times New Roman" w:hAnsi="Times New Roman" w:cs="Times New Roman"/>
          <w:sz w:val="26"/>
          <w:szCs w:val="26"/>
        </w:rPr>
        <w:t xml:space="preserve">реднегодовая численность постоянного населения города </w:t>
      </w:r>
      <w:r w:rsidR="00F22DAC" w:rsidRPr="006B681B">
        <w:rPr>
          <w:rFonts w:ascii="Times New Roman" w:hAnsi="Times New Roman" w:cs="Times New Roman"/>
          <w:sz w:val="26"/>
          <w:szCs w:val="26"/>
        </w:rPr>
        <w:t xml:space="preserve">Когалыма по данным Территориального органа Федеральной службы государственной статистики по Ханты-Мансийскому автономному округу – Югре </w:t>
      </w:r>
      <w:r w:rsidR="00FF632B">
        <w:rPr>
          <w:rFonts w:ascii="Times New Roman" w:hAnsi="Times New Roman" w:cs="Times New Roman"/>
          <w:sz w:val="26"/>
          <w:szCs w:val="26"/>
        </w:rPr>
        <w:t>за 2014</w:t>
      </w:r>
      <w:r w:rsidR="00F22DAC" w:rsidRPr="006B681B">
        <w:rPr>
          <w:rFonts w:ascii="Times New Roman" w:hAnsi="Times New Roman" w:cs="Times New Roman"/>
          <w:sz w:val="26"/>
          <w:szCs w:val="26"/>
        </w:rPr>
        <w:t xml:space="preserve"> год </w:t>
      </w:r>
      <w:r w:rsidR="001A7795" w:rsidRPr="006B681B">
        <w:rPr>
          <w:rFonts w:ascii="Times New Roman" w:hAnsi="Times New Roman" w:cs="Times New Roman"/>
          <w:sz w:val="26"/>
          <w:szCs w:val="26"/>
        </w:rPr>
        <w:t xml:space="preserve">составила </w:t>
      </w:r>
      <w:r w:rsidR="00341D31" w:rsidRPr="006B681B">
        <w:rPr>
          <w:rFonts w:ascii="Times New Roman" w:hAnsi="Times New Roman" w:cs="Times New Roman"/>
          <w:sz w:val="26"/>
          <w:szCs w:val="26"/>
        </w:rPr>
        <w:t>61,74</w:t>
      </w:r>
      <w:r w:rsidR="00B02049" w:rsidRPr="006B681B">
        <w:rPr>
          <w:rFonts w:ascii="Times New Roman" w:hAnsi="Times New Roman" w:cs="Times New Roman"/>
          <w:sz w:val="26"/>
          <w:szCs w:val="26"/>
        </w:rPr>
        <w:t xml:space="preserve"> тыс. </w:t>
      </w:r>
      <w:r w:rsidR="001A7795" w:rsidRPr="006B681B">
        <w:rPr>
          <w:rFonts w:ascii="Times New Roman" w:hAnsi="Times New Roman" w:cs="Times New Roman"/>
          <w:sz w:val="26"/>
          <w:szCs w:val="26"/>
        </w:rPr>
        <w:t>человек</w:t>
      </w:r>
      <w:r w:rsidR="00B02049" w:rsidRPr="006B681B">
        <w:rPr>
          <w:rFonts w:ascii="Times New Roman" w:hAnsi="Times New Roman" w:cs="Times New Roman"/>
          <w:sz w:val="26"/>
          <w:szCs w:val="26"/>
        </w:rPr>
        <w:t xml:space="preserve">. Численность </w:t>
      </w:r>
      <w:r w:rsidR="00F22DAC" w:rsidRPr="006B681B">
        <w:rPr>
          <w:rFonts w:ascii="Times New Roman" w:hAnsi="Times New Roman" w:cs="Times New Roman"/>
          <w:sz w:val="26"/>
          <w:szCs w:val="26"/>
        </w:rPr>
        <w:t xml:space="preserve">постоянного </w:t>
      </w:r>
      <w:r w:rsidR="00B02049" w:rsidRPr="006B681B">
        <w:rPr>
          <w:rFonts w:ascii="Times New Roman" w:hAnsi="Times New Roman" w:cs="Times New Roman"/>
          <w:sz w:val="26"/>
          <w:szCs w:val="26"/>
        </w:rPr>
        <w:t>населения на начало 201</w:t>
      </w:r>
      <w:r w:rsidR="00341D31" w:rsidRPr="006B681B">
        <w:rPr>
          <w:rFonts w:ascii="Times New Roman" w:hAnsi="Times New Roman" w:cs="Times New Roman"/>
          <w:sz w:val="26"/>
          <w:szCs w:val="26"/>
        </w:rPr>
        <w:t>5</w:t>
      </w:r>
      <w:r w:rsidR="00B02049" w:rsidRPr="006B681B">
        <w:rPr>
          <w:rFonts w:ascii="Times New Roman" w:hAnsi="Times New Roman" w:cs="Times New Roman"/>
          <w:sz w:val="26"/>
          <w:szCs w:val="26"/>
        </w:rPr>
        <w:t xml:space="preserve"> года состав</w:t>
      </w:r>
      <w:r w:rsidR="00341D31" w:rsidRPr="006B681B">
        <w:rPr>
          <w:rFonts w:ascii="Times New Roman" w:hAnsi="Times New Roman" w:cs="Times New Roman"/>
          <w:sz w:val="26"/>
          <w:szCs w:val="26"/>
        </w:rPr>
        <w:t>ила</w:t>
      </w:r>
      <w:r w:rsidR="00B02049" w:rsidRPr="006B681B">
        <w:rPr>
          <w:rFonts w:ascii="Times New Roman" w:hAnsi="Times New Roman" w:cs="Times New Roman"/>
          <w:sz w:val="26"/>
          <w:szCs w:val="26"/>
        </w:rPr>
        <w:t xml:space="preserve"> </w:t>
      </w:r>
      <w:r w:rsidR="00341D31" w:rsidRPr="006B681B">
        <w:rPr>
          <w:rFonts w:ascii="Times New Roman" w:hAnsi="Times New Roman" w:cs="Times New Roman"/>
          <w:sz w:val="26"/>
          <w:szCs w:val="26"/>
        </w:rPr>
        <w:t>62,33</w:t>
      </w:r>
      <w:r w:rsidR="00B02049" w:rsidRPr="006B681B">
        <w:rPr>
          <w:rFonts w:ascii="Times New Roman" w:hAnsi="Times New Roman" w:cs="Times New Roman"/>
          <w:sz w:val="26"/>
          <w:szCs w:val="26"/>
        </w:rPr>
        <w:t xml:space="preserve"> тыс. человек, увеличившись по срав</w:t>
      </w:r>
      <w:r w:rsidR="001A7795" w:rsidRPr="006B681B">
        <w:rPr>
          <w:rFonts w:ascii="Times New Roman" w:hAnsi="Times New Roman" w:cs="Times New Roman"/>
          <w:sz w:val="26"/>
          <w:szCs w:val="26"/>
        </w:rPr>
        <w:t>нению с началом 201</w:t>
      </w:r>
      <w:r w:rsidR="00341D31" w:rsidRPr="006B681B">
        <w:rPr>
          <w:rFonts w:ascii="Times New Roman" w:hAnsi="Times New Roman" w:cs="Times New Roman"/>
          <w:sz w:val="26"/>
          <w:szCs w:val="26"/>
        </w:rPr>
        <w:t>4</w:t>
      </w:r>
      <w:r w:rsidR="001A7795" w:rsidRPr="006B681B">
        <w:rPr>
          <w:rFonts w:ascii="Times New Roman" w:hAnsi="Times New Roman" w:cs="Times New Roman"/>
          <w:sz w:val="26"/>
          <w:szCs w:val="26"/>
        </w:rPr>
        <w:t xml:space="preserve"> года на </w:t>
      </w:r>
      <w:r w:rsidRPr="006B681B">
        <w:rPr>
          <w:rFonts w:ascii="Times New Roman" w:hAnsi="Times New Roman" w:cs="Times New Roman"/>
          <w:sz w:val="26"/>
          <w:szCs w:val="26"/>
        </w:rPr>
        <w:t>1,</w:t>
      </w:r>
      <w:r w:rsidR="00341D31" w:rsidRPr="006B681B">
        <w:rPr>
          <w:rFonts w:ascii="Times New Roman" w:hAnsi="Times New Roman" w:cs="Times New Roman"/>
          <w:sz w:val="26"/>
          <w:szCs w:val="26"/>
        </w:rPr>
        <w:t>18</w:t>
      </w:r>
      <w:r w:rsidR="00B02049" w:rsidRPr="006B681B">
        <w:rPr>
          <w:rFonts w:ascii="Times New Roman" w:hAnsi="Times New Roman" w:cs="Times New Roman"/>
          <w:sz w:val="26"/>
          <w:szCs w:val="26"/>
        </w:rPr>
        <w:t xml:space="preserve"> тыс. человек или на </w:t>
      </w:r>
      <w:r w:rsidR="00341D31" w:rsidRPr="006B681B">
        <w:rPr>
          <w:rFonts w:ascii="Times New Roman" w:hAnsi="Times New Roman" w:cs="Times New Roman"/>
          <w:sz w:val="26"/>
          <w:szCs w:val="26"/>
        </w:rPr>
        <w:t>1,9</w:t>
      </w:r>
      <w:r w:rsidR="00B02049" w:rsidRPr="006B681B">
        <w:rPr>
          <w:rFonts w:ascii="Times New Roman" w:hAnsi="Times New Roman" w:cs="Times New Roman"/>
          <w:sz w:val="26"/>
          <w:szCs w:val="26"/>
        </w:rPr>
        <w:t>%.</w:t>
      </w:r>
    </w:p>
    <w:p w:rsidR="00C9246E" w:rsidRPr="006B681B" w:rsidRDefault="00F22DAC"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Стабильность ежегодного увеличения численности населения в городе поддерживается за счет естественного прироста населения, который в 2014 году составил 784 человека.</w:t>
      </w:r>
      <w:r w:rsidR="00C9246E" w:rsidRPr="006B681B">
        <w:rPr>
          <w:rFonts w:ascii="Times New Roman" w:hAnsi="Times New Roman" w:cs="Times New Roman"/>
          <w:sz w:val="26"/>
          <w:szCs w:val="26"/>
        </w:rPr>
        <w:t xml:space="preserve"> Устойчивой позитивной тенденцией демографического развития города на протяжении более 10 лет является превышение числа родившихся над количеством умерших в пределах 4,5-5,0 раз. </w:t>
      </w:r>
      <w:r w:rsidRPr="006B681B">
        <w:rPr>
          <w:rFonts w:ascii="Times New Roman" w:hAnsi="Times New Roman" w:cs="Times New Roman"/>
          <w:sz w:val="26"/>
          <w:szCs w:val="26"/>
        </w:rPr>
        <w:t>В прогнозном периоде сохранится тенденция превышения рождаемости над смертностью.</w:t>
      </w:r>
    </w:p>
    <w:p w:rsidR="00067FB1" w:rsidRPr="006B681B" w:rsidRDefault="00303112"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За 30 лет во второй раз количество родившихся малышей превысило одну тысячу. За истекший 2014 год в городе родилось 1 003 малыша, что на 18 детей больше, чем в 2013 году.</w:t>
      </w:r>
      <w:r w:rsidR="00067FB1" w:rsidRPr="006B681B">
        <w:rPr>
          <w:rFonts w:ascii="Times New Roman" w:hAnsi="Times New Roman" w:cs="Times New Roman"/>
          <w:sz w:val="26"/>
          <w:szCs w:val="26"/>
        </w:rPr>
        <w:t xml:space="preserve"> Общий коэффициент рождаемости составил 16,3 промилле, что ниже средне окружного значения на 0,9 промилле (Ханты-Мансийский автономный округ – Югра – 17,2 на 1000 населения) и выше значения по Российской Федерации на 3 промилле (Российская Федерация - 13,3 на 1000 населения).</w:t>
      </w:r>
    </w:p>
    <w:p w:rsidR="00C9246E" w:rsidRPr="006B681B" w:rsidRDefault="00341D31"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По оценке к</w:t>
      </w:r>
      <w:r w:rsidR="00C9246E" w:rsidRPr="006B681B">
        <w:rPr>
          <w:rFonts w:ascii="Times New Roman" w:hAnsi="Times New Roman" w:cs="Times New Roman"/>
          <w:sz w:val="26"/>
          <w:szCs w:val="26"/>
        </w:rPr>
        <w:t>оличество родившихся в 201</w:t>
      </w:r>
      <w:r w:rsidRPr="006B681B">
        <w:rPr>
          <w:rFonts w:ascii="Times New Roman" w:hAnsi="Times New Roman" w:cs="Times New Roman"/>
          <w:sz w:val="26"/>
          <w:szCs w:val="26"/>
        </w:rPr>
        <w:t>5</w:t>
      </w:r>
      <w:r w:rsidR="00C9246E" w:rsidRPr="006B681B">
        <w:rPr>
          <w:rFonts w:ascii="Times New Roman" w:hAnsi="Times New Roman" w:cs="Times New Roman"/>
          <w:sz w:val="26"/>
          <w:szCs w:val="26"/>
        </w:rPr>
        <w:t xml:space="preserve"> году </w:t>
      </w:r>
      <w:r w:rsidRPr="006B681B">
        <w:rPr>
          <w:rFonts w:ascii="Times New Roman" w:hAnsi="Times New Roman" w:cs="Times New Roman"/>
          <w:sz w:val="26"/>
          <w:szCs w:val="26"/>
        </w:rPr>
        <w:t>уменьшится</w:t>
      </w:r>
      <w:r w:rsidR="00C9246E" w:rsidRPr="006B681B">
        <w:rPr>
          <w:rFonts w:ascii="Times New Roman" w:hAnsi="Times New Roman" w:cs="Times New Roman"/>
          <w:sz w:val="26"/>
          <w:szCs w:val="26"/>
        </w:rPr>
        <w:t xml:space="preserve"> по сравнению с 201</w:t>
      </w:r>
      <w:r w:rsidRPr="006B681B">
        <w:rPr>
          <w:rFonts w:ascii="Times New Roman" w:hAnsi="Times New Roman" w:cs="Times New Roman"/>
          <w:sz w:val="26"/>
          <w:szCs w:val="26"/>
        </w:rPr>
        <w:t>4</w:t>
      </w:r>
      <w:r w:rsidR="00C9246E" w:rsidRPr="006B681B">
        <w:rPr>
          <w:rFonts w:ascii="Times New Roman" w:hAnsi="Times New Roman" w:cs="Times New Roman"/>
          <w:sz w:val="26"/>
          <w:szCs w:val="26"/>
        </w:rPr>
        <w:t xml:space="preserve"> годом на </w:t>
      </w:r>
      <w:r w:rsidR="00F22DAC" w:rsidRPr="006B681B">
        <w:rPr>
          <w:rFonts w:ascii="Times New Roman" w:hAnsi="Times New Roman" w:cs="Times New Roman"/>
          <w:sz w:val="26"/>
          <w:szCs w:val="26"/>
        </w:rPr>
        <w:t>1</w:t>
      </w:r>
      <w:r w:rsidRPr="006B681B">
        <w:rPr>
          <w:rFonts w:ascii="Times New Roman" w:hAnsi="Times New Roman" w:cs="Times New Roman"/>
          <w:sz w:val="26"/>
          <w:szCs w:val="26"/>
        </w:rPr>
        <w:t>,8</w:t>
      </w:r>
      <w:r w:rsidR="00C9246E" w:rsidRPr="006B681B">
        <w:rPr>
          <w:rFonts w:ascii="Times New Roman" w:hAnsi="Times New Roman" w:cs="Times New Roman"/>
          <w:sz w:val="26"/>
          <w:szCs w:val="26"/>
        </w:rPr>
        <w:t xml:space="preserve">% и составит </w:t>
      </w:r>
      <w:r w:rsidRPr="006B681B">
        <w:rPr>
          <w:rFonts w:ascii="Times New Roman" w:hAnsi="Times New Roman" w:cs="Times New Roman"/>
          <w:sz w:val="26"/>
          <w:szCs w:val="26"/>
        </w:rPr>
        <w:t>9</w:t>
      </w:r>
      <w:r w:rsidR="00F22DAC" w:rsidRPr="006B681B">
        <w:rPr>
          <w:rFonts w:ascii="Times New Roman" w:hAnsi="Times New Roman" w:cs="Times New Roman"/>
          <w:sz w:val="26"/>
          <w:szCs w:val="26"/>
        </w:rPr>
        <w:t>8</w:t>
      </w:r>
      <w:r w:rsidRPr="006B681B">
        <w:rPr>
          <w:rFonts w:ascii="Times New Roman" w:hAnsi="Times New Roman" w:cs="Times New Roman"/>
          <w:sz w:val="26"/>
          <w:szCs w:val="26"/>
        </w:rPr>
        <w:t>5</w:t>
      </w:r>
      <w:r w:rsidR="00C9246E" w:rsidRPr="006B681B">
        <w:rPr>
          <w:rFonts w:ascii="Times New Roman" w:hAnsi="Times New Roman" w:cs="Times New Roman"/>
          <w:sz w:val="26"/>
          <w:szCs w:val="26"/>
        </w:rPr>
        <w:t xml:space="preserve"> </w:t>
      </w:r>
      <w:r w:rsidR="00F043E7" w:rsidRPr="006B681B">
        <w:rPr>
          <w:rFonts w:ascii="Times New Roman" w:hAnsi="Times New Roman" w:cs="Times New Roman"/>
          <w:sz w:val="26"/>
          <w:szCs w:val="26"/>
        </w:rPr>
        <w:t>малышей</w:t>
      </w:r>
      <w:r w:rsidR="00C9246E" w:rsidRPr="006B681B">
        <w:rPr>
          <w:rFonts w:ascii="Times New Roman" w:hAnsi="Times New Roman" w:cs="Times New Roman"/>
          <w:sz w:val="26"/>
          <w:szCs w:val="26"/>
        </w:rPr>
        <w:t xml:space="preserve">. Общий коэффициент рождаемости составит </w:t>
      </w:r>
      <w:r w:rsidRPr="006B681B">
        <w:rPr>
          <w:rFonts w:ascii="Times New Roman" w:hAnsi="Times New Roman" w:cs="Times New Roman"/>
          <w:sz w:val="26"/>
          <w:szCs w:val="26"/>
        </w:rPr>
        <w:t>15,</w:t>
      </w:r>
      <w:r w:rsidR="00F22DAC" w:rsidRPr="006B681B">
        <w:rPr>
          <w:rFonts w:ascii="Times New Roman" w:hAnsi="Times New Roman" w:cs="Times New Roman"/>
          <w:sz w:val="26"/>
          <w:szCs w:val="26"/>
        </w:rPr>
        <w:t>7</w:t>
      </w:r>
      <w:r w:rsidR="00C9246E" w:rsidRPr="006B681B">
        <w:rPr>
          <w:rFonts w:ascii="Times New Roman" w:hAnsi="Times New Roman" w:cs="Times New Roman"/>
          <w:sz w:val="26"/>
          <w:szCs w:val="26"/>
        </w:rPr>
        <w:t xml:space="preserve"> промилле.</w:t>
      </w:r>
    </w:p>
    <w:p w:rsidR="00C9246E" w:rsidRPr="006B681B" w:rsidRDefault="00C9246E"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прогнозном периоде ожидается ежегодный прирост рождаемости на уровне </w:t>
      </w:r>
      <w:r w:rsidR="00341D31" w:rsidRPr="006B681B">
        <w:rPr>
          <w:rFonts w:ascii="Times New Roman" w:hAnsi="Times New Roman" w:cs="Times New Roman"/>
          <w:sz w:val="26"/>
          <w:szCs w:val="26"/>
        </w:rPr>
        <w:t>100,3</w:t>
      </w:r>
      <w:r w:rsidRPr="006B681B">
        <w:rPr>
          <w:rFonts w:ascii="Times New Roman" w:hAnsi="Times New Roman" w:cs="Times New Roman"/>
          <w:sz w:val="26"/>
          <w:szCs w:val="26"/>
        </w:rPr>
        <w:t xml:space="preserve">% - </w:t>
      </w:r>
      <w:r w:rsidR="001B3B0D" w:rsidRPr="006B681B">
        <w:rPr>
          <w:rFonts w:ascii="Times New Roman" w:hAnsi="Times New Roman" w:cs="Times New Roman"/>
          <w:sz w:val="26"/>
          <w:szCs w:val="26"/>
        </w:rPr>
        <w:t>101,</w:t>
      </w:r>
      <w:r w:rsidR="00785BBF" w:rsidRPr="006B681B">
        <w:rPr>
          <w:rFonts w:ascii="Times New Roman" w:hAnsi="Times New Roman" w:cs="Times New Roman"/>
          <w:sz w:val="26"/>
          <w:szCs w:val="26"/>
        </w:rPr>
        <w:t>9</w:t>
      </w:r>
      <w:r w:rsidRPr="006B681B">
        <w:rPr>
          <w:rFonts w:ascii="Times New Roman" w:hAnsi="Times New Roman" w:cs="Times New Roman"/>
          <w:sz w:val="26"/>
          <w:szCs w:val="26"/>
        </w:rPr>
        <w:t xml:space="preserve">%. Количество рождений на 1 тыс. жителей прогнозируется на уровне </w:t>
      </w:r>
      <w:r w:rsidR="00341D31" w:rsidRPr="006B681B">
        <w:rPr>
          <w:rFonts w:ascii="Times New Roman" w:hAnsi="Times New Roman" w:cs="Times New Roman"/>
          <w:sz w:val="26"/>
          <w:szCs w:val="26"/>
        </w:rPr>
        <w:t>15,</w:t>
      </w:r>
      <w:r w:rsidR="00785BBF" w:rsidRPr="006B681B">
        <w:rPr>
          <w:rFonts w:ascii="Times New Roman" w:hAnsi="Times New Roman" w:cs="Times New Roman"/>
          <w:sz w:val="26"/>
          <w:szCs w:val="26"/>
        </w:rPr>
        <w:t>4</w:t>
      </w:r>
      <w:r w:rsidR="001B3B0D" w:rsidRPr="006B681B">
        <w:rPr>
          <w:rFonts w:ascii="Times New Roman" w:hAnsi="Times New Roman" w:cs="Times New Roman"/>
          <w:sz w:val="26"/>
          <w:szCs w:val="26"/>
        </w:rPr>
        <w:t>-15,</w:t>
      </w:r>
      <w:r w:rsidR="00785BBF" w:rsidRPr="006B681B">
        <w:rPr>
          <w:rFonts w:ascii="Times New Roman" w:hAnsi="Times New Roman" w:cs="Times New Roman"/>
          <w:sz w:val="26"/>
          <w:szCs w:val="26"/>
        </w:rPr>
        <w:t>5</w:t>
      </w:r>
      <w:r w:rsidRPr="006B681B">
        <w:rPr>
          <w:rFonts w:ascii="Times New Roman" w:hAnsi="Times New Roman" w:cs="Times New Roman"/>
          <w:sz w:val="26"/>
          <w:szCs w:val="26"/>
        </w:rPr>
        <w:t xml:space="preserve"> промилле в год. Количество рождений повысится с </w:t>
      </w:r>
      <w:r w:rsidR="001B3B0D" w:rsidRPr="006B681B">
        <w:rPr>
          <w:rFonts w:ascii="Times New Roman" w:hAnsi="Times New Roman" w:cs="Times New Roman"/>
          <w:sz w:val="26"/>
          <w:szCs w:val="26"/>
        </w:rPr>
        <w:t>995</w:t>
      </w:r>
      <w:r w:rsidRPr="006B681B">
        <w:rPr>
          <w:rFonts w:ascii="Times New Roman" w:hAnsi="Times New Roman" w:cs="Times New Roman"/>
          <w:sz w:val="26"/>
          <w:szCs w:val="26"/>
        </w:rPr>
        <w:t xml:space="preserve"> человек в 201</w:t>
      </w:r>
      <w:r w:rsidR="00341D31" w:rsidRPr="006B681B">
        <w:rPr>
          <w:rFonts w:ascii="Times New Roman" w:hAnsi="Times New Roman" w:cs="Times New Roman"/>
          <w:sz w:val="26"/>
          <w:szCs w:val="26"/>
        </w:rPr>
        <w:t>6</w:t>
      </w:r>
      <w:r w:rsidR="001B3B0D" w:rsidRPr="006B681B">
        <w:rPr>
          <w:rFonts w:ascii="Times New Roman" w:hAnsi="Times New Roman" w:cs="Times New Roman"/>
          <w:sz w:val="26"/>
          <w:szCs w:val="26"/>
        </w:rPr>
        <w:t xml:space="preserve"> году до 1 0</w:t>
      </w:r>
      <w:r w:rsidR="00785BBF" w:rsidRPr="006B681B">
        <w:rPr>
          <w:rFonts w:ascii="Times New Roman" w:hAnsi="Times New Roman" w:cs="Times New Roman"/>
          <w:sz w:val="26"/>
          <w:szCs w:val="26"/>
        </w:rPr>
        <w:t>34</w:t>
      </w:r>
      <w:r w:rsidR="001B3B0D" w:rsidRPr="006B681B">
        <w:rPr>
          <w:rFonts w:ascii="Times New Roman" w:hAnsi="Times New Roman" w:cs="Times New Roman"/>
          <w:sz w:val="26"/>
          <w:szCs w:val="26"/>
        </w:rPr>
        <w:t xml:space="preserve"> </w:t>
      </w:r>
      <w:r w:rsidRPr="006B681B">
        <w:rPr>
          <w:rFonts w:ascii="Times New Roman" w:hAnsi="Times New Roman" w:cs="Times New Roman"/>
          <w:sz w:val="26"/>
          <w:szCs w:val="26"/>
        </w:rPr>
        <w:t>человек в 201</w:t>
      </w:r>
      <w:r w:rsidR="00341D31" w:rsidRPr="006B681B">
        <w:rPr>
          <w:rFonts w:ascii="Times New Roman" w:hAnsi="Times New Roman" w:cs="Times New Roman"/>
          <w:sz w:val="26"/>
          <w:szCs w:val="26"/>
        </w:rPr>
        <w:t>8 году по второму варианту.</w:t>
      </w:r>
    </w:p>
    <w:p w:rsidR="00C9246E" w:rsidRPr="006B681B" w:rsidRDefault="00C9246E"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Количество смертных случаев в </w:t>
      </w:r>
      <w:r w:rsidR="00FF632B">
        <w:rPr>
          <w:rFonts w:ascii="Times New Roman" w:hAnsi="Times New Roman" w:cs="Times New Roman"/>
          <w:sz w:val="26"/>
          <w:szCs w:val="26"/>
        </w:rPr>
        <w:t xml:space="preserve">2015 году увеличится по сравнению с 2014 годом на 9,1% и составит 239 случаев. В </w:t>
      </w:r>
      <w:r w:rsidRPr="006B681B">
        <w:rPr>
          <w:rFonts w:ascii="Times New Roman" w:hAnsi="Times New Roman" w:cs="Times New Roman"/>
          <w:sz w:val="26"/>
          <w:szCs w:val="26"/>
        </w:rPr>
        <w:t xml:space="preserve">среднесрочной перспективе </w:t>
      </w:r>
      <w:r w:rsidR="00FF632B">
        <w:rPr>
          <w:rFonts w:ascii="Times New Roman" w:hAnsi="Times New Roman" w:cs="Times New Roman"/>
          <w:sz w:val="26"/>
          <w:szCs w:val="26"/>
        </w:rPr>
        <w:t>количество смертных случаев уменьшится до 230 случаев в 2016 году по второму варианту</w:t>
      </w:r>
      <w:r w:rsidR="0084106F">
        <w:rPr>
          <w:rFonts w:ascii="Times New Roman" w:hAnsi="Times New Roman" w:cs="Times New Roman"/>
          <w:sz w:val="26"/>
          <w:szCs w:val="26"/>
        </w:rPr>
        <w:t>, а к 2018 году будет увеличиваться до 237 человек.</w:t>
      </w:r>
      <w:r w:rsidR="00FF632B">
        <w:rPr>
          <w:rFonts w:ascii="Times New Roman" w:hAnsi="Times New Roman" w:cs="Times New Roman"/>
          <w:sz w:val="26"/>
          <w:szCs w:val="26"/>
        </w:rPr>
        <w:t xml:space="preserve"> </w:t>
      </w:r>
      <w:r w:rsidRPr="006B681B">
        <w:rPr>
          <w:rFonts w:ascii="Times New Roman" w:hAnsi="Times New Roman" w:cs="Times New Roman"/>
          <w:sz w:val="26"/>
          <w:szCs w:val="26"/>
        </w:rPr>
        <w:t>Общий коэффиц</w:t>
      </w:r>
      <w:r w:rsidR="000B31F2" w:rsidRPr="006B681B">
        <w:rPr>
          <w:rFonts w:ascii="Times New Roman" w:hAnsi="Times New Roman" w:cs="Times New Roman"/>
          <w:sz w:val="26"/>
          <w:szCs w:val="26"/>
        </w:rPr>
        <w:t>иент смертности населения к 2018</w:t>
      </w:r>
      <w:r w:rsidRPr="006B681B">
        <w:rPr>
          <w:rFonts w:ascii="Times New Roman" w:hAnsi="Times New Roman" w:cs="Times New Roman"/>
          <w:sz w:val="26"/>
          <w:szCs w:val="26"/>
        </w:rPr>
        <w:t xml:space="preserve"> году </w:t>
      </w:r>
      <w:r w:rsidR="000B31F2" w:rsidRPr="006B681B">
        <w:rPr>
          <w:rFonts w:ascii="Times New Roman" w:hAnsi="Times New Roman" w:cs="Times New Roman"/>
          <w:sz w:val="26"/>
          <w:szCs w:val="26"/>
        </w:rPr>
        <w:t>составит 3,</w:t>
      </w:r>
      <w:r w:rsidR="00785BBF" w:rsidRPr="006B681B">
        <w:rPr>
          <w:rFonts w:ascii="Times New Roman" w:hAnsi="Times New Roman" w:cs="Times New Roman"/>
          <w:sz w:val="26"/>
          <w:szCs w:val="26"/>
        </w:rPr>
        <w:t>6</w:t>
      </w:r>
      <w:r w:rsidRPr="006B681B">
        <w:rPr>
          <w:rFonts w:ascii="Times New Roman" w:hAnsi="Times New Roman" w:cs="Times New Roman"/>
          <w:sz w:val="26"/>
          <w:szCs w:val="26"/>
        </w:rPr>
        <w:t xml:space="preserve"> промилле.</w:t>
      </w:r>
    </w:p>
    <w:p w:rsidR="00B02049" w:rsidRPr="006B681B" w:rsidRDefault="00B02049"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За последние пять лет численность населения старше трудоспособного возраста возрастает в среднем на </w:t>
      </w:r>
      <w:r w:rsidR="00E1628E" w:rsidRPr="006B681B">
        <w:rPr>
          <w:rFonts w:ascii="Times New Roman" w:hAnsi="Times New Roman" w:cs="Times New Roman"/>
          <w:sz w:val="26"/>
          <w:szCs w:val="26"/>
        </w:rPr>
        <w:t>420</w:t>
      </w:r>
      <w:r w:rsidRPr="006B681B">
        <w:rPr>
          <w:rFonts w:ascii="Times New Roman" w:hAnsi="Times New Roman" w:cs="Times New Roman"/>
          <w:sz w:val="26"/>
          <w:szCs w:val="26"/>
        </w:rPr>
        <w:t xml:space="preserve"> человек ежегодно. Старение населения является одним из факторов, увеличивающих показатели смертности населения города.</w:t>
      </w:r>
    </w:p>
    <w:p w:rsidR="00C9246E" w:rsidRPr="006B681B" w:rsidRDefault="00C9246E"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целом, за счёт естественного движения численность населения города в 201</w:t>
      </w:r>
      <w:r w:rsidR="002348A3" w:rsidRPr="006B681B">
        <w:rPr>
          <w:rFonts w:ascii="Times New Roman" w:hAnsi="Times New Roman" w:cs="Times New Roman"/>
          <w:sz w:val="26"/>
          <w:szCs w:val="26"/>
        </w:rPr>
        <w:t>5</w:t>
      </w:r>
      <w:r w:rsidRPr="006B681B">
        <w:rPr>
          <w:rFonts w:ascii="Times New Roman" w:hAnsi="Times New Roman" w:cs="Times New Roman"/>
          <w:sz w:val="26"/>
          <w:szCs w:val="26"/>
        </w:rPr>
        <w:t xml:space="preserve"> году увеличится на </w:t>
      </w:r>
      <w:r w:rsidR="00785BBF" w:rsidRPr="006B681B">
        <w:rPr>
          <w:rFonts w:ascii="Times New Roman" w:hAnsi="Times New Roman" w:cs="Times New Roman"/>
          <w:sz w:val="26"/>
          <w:szCs w:val="26"/>
        </w:rPr>
        <w:t>746</w:t>
      </w:r>
      <w:r w:rsidRPr="006B681B">
        <w:rPr>
          <w:rFonts w:ascii="Times New Roman" w:hAnsi="Times New Roman" w:cs="Times New Roman"/>
          <w:sz w:val="26"/>
          <w:szCs w:val="26"/>
        </w:rPr>
        <w:t xml:space="preserve"> человек. По прогнозу в 201</w:t>
      </w:r>
      <w:r w:rsidR="002348A3" w:rsidRPr="006B681B">
        <w:rPr>
          <w:rFonts w:ascii="Times New Roman" w:hAnsi="Times New Roman" w:cs="Times New Roman"/>
          <w:sz w:val="26"/>
          <w:szCs w:val="26"/>
        </w:rPr>
        <w:t>8</w:t>
      </w:r>
      <w:r w:rsidRPr="006B681B">
        <w:rPr>
          <w:rFonts w:ascii="Times New Roman" w:hAnsi="Times New Roman" w:cs="Times New Roman"/>
          <w:sz w:val="26"/>
          <w:szCs w:val="26"/>
        </w:rPr>
        <w:t xml:space="preserve"> году естественный прирост населения по второму варианту составит </w:t>
      </w:r>
      <w:r w:rsidR="00785BBF" w:rsidRPr="006B681B">
        <w:rPr>
          <w:rFonts w:ascii="Times New Roman" w:hAnsi="Times New Roman" w:cs="Times New Roman"/>
          <w:sz w:val="26"/>
          <w:szCs w:val="26"/>
        </w:rPr>
        <w:t>797</w:t>
      </w:r>
      <w:r w:rsidRPr="006B681B">
        <w:rPr>
          <w:rFonts w:ascii="Times New Roman" w:hAnsi="Times New Roman" w:cs="Times New Roman"/>
          <w:sz w:val="26"/>
          <w:szCs w:val="26"/>
        </w:rPr>
        <w:t xml:space="preserve"> человек.</w:t>
      </w:r>
    </w:p>
    <w:p w:rsidR="00B02049" w:rsidRPr="006B681B" w:rsidRDefault="00B02049"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отличие от естественного движения населения миграционные потоки не обладают устойчивой динамикой по годам.</w:t>
      </w:r>
      <w:r w:rsidR="00785BBF" w:rsidRPr="006B681B">
        <w:rPr>
          <w:rFonts w:ascii="Times New Roman" w:hAnsi="Times New Roman" w:cs="Times New Roman"/>
          <w:sz w:val="26"/>
          <w:szCs w:val="26"/>
        </w:rPr>
        <w:t xml:space="preserve"> Миграционная составляющая испытывает значи</w:t>
      </w:r>
      <w:r w:rsidR="006F48DA" w:rsidRPr="006B681B">
        <w:rPr>
          <w:rFonts w:ascii="Times New Roman" w:hAnsi="Times New Roman" w:cs="Times New Roman"/>
          <w:sz w:val="26"/>
          <w:szCs w:val="26"/>
        </w:rPr>
        <w:t>тельные колебания из года в год</w:t>
      </w:r>
      <w:r w:rsidR="00785BBF" w:rsidRPr="006B681B">
        <w:rPr>
          <w:rFonts w:ascii="Times New Roman" w:hAnsi="Times New Roman" w:cs="Times New Roman"/>
          <w:sz w:val="26"/>
          <w:szCs w:val="26"/>
        </w:rPr>
        <w:t>.</w:t>
      </w:r>
    </w:p>
    <w:p w:rsidR="00B02049" w:rsidRPr="006B681B" w:rsidRDefault="00785BBF"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Миграционный прирост населения в 2014 году увеличился по сравнению с 2013 годом на 1,6 раза и составил </w:t>
      </w:r>
      <w:r w:rsidR="0084040B" w:rsidRPr="006B681B">
        <w:rPr>
          <w:rFonts w:ascii="Times New Roman" w:hAnsi="Times New Roman" w:cs="Times New Roman"/>
          <w:sz w:val="26"/>
          <w:szCs w:val="26"/>
        </w:rPr>
        <w:t xml:space="preserve">398 человек. </w:t>
      </w:r>
      <w:r w:rsidR="00B02049" w:rsidRPr="006B681B">
        <w:rPr>
          <w:rFonts w:ascii="Times New Roman" w:hAnsi="Times New Roman" w:cs="Times New Roman"/>
          <w:sz w:val="26"/>
          <w:szCs w:val="26"/>
        </w:rPr>
        <w:t>По сравнению с 201</w:t>
      </w:r>
      <w:r w:rsidR="00E1628E" w:rsidRPr="006B681B">
        <w:rPr>
          <w:rFonts w:ascii="Times New Roman" w:hAnsi="Times New Roman" w:cs="Times New Roman"/>
          <w:sz w:val="26"/>
          <w:szCs w:val="26"/>
        </w:rPr>
        <w:t>4</w:t>
      </w:r>
      <w:r w:rsidR="0084040B" w:rsidRPr="006B681B">
        <w:rPr>
          <w:rFonts w:ascii="Times New Roman" w:hAnsi="Times New Roman" w:cs="Times New Roman"/>
          <w:sz w:val="26"/>
          <w:szCs w:val="26"/>
        </w:rPr>
        <w:t xml:space="preserve"> годом в 2015 году </w:t>
      </w:r>
      <w:r w:rsidR="00B02049" w:rsidRPr="006B681B">
        <w:rPr>
          <w:rFonts w:ascii="Times New Roman" w:hAnsi="Times New Roman" w:cs="Times New Roman"/>
          <w:sz w:val="26"/>
          <w:szCs w:val="26"/>
        </w:rPr>
        <w:t xml:space="preserve">наблюдается </w:t>
      </w:r>
      <w:r w:rsidR="0084040B" w:rsidRPr="006B681B">
        <w:rPr>
          <w:rFonts w:ascii="Times New Roman" w:hAnsi="Times New Roman" w:cs="Times New Roman"/>
          <w:sz w:val="26"/>
          <w:szCs w:val="26"/>
        </w:rPr>
        <w:t>небольшое увеличение</w:t>
      </w:r>
      <w:r w:rsidR="00B02049" w:rsidRPr="006B681B">
        <w:rPr>
          <w:rFonts w:ascii="Times New Roman" w:hAnsi="Times New Roman" w:cs="Times New Roman"/>
          <w:sz w:val="26"/>
          <w:szCs w:val="26"/>
        </w:rPr>
        <w:t xml:space="preserve"> потоков механического передвижения населения. По оценке </w:t>
      </w:r>
      <w:r w:rsidR="0084040B" w:rsidRPr="006B681B">
        <w:rPr>
          <w:rFonts w:ascii="Times New Roman" w:hAnsi="Times New Roman" w:cs="Times New Roman"/>
          <w:sz w:val="26"/>
          <w:szCs w:val="26"/>
        </w:rPr>
        <w:t xml:space="preserve">в 2015 году </w:t>
      </w:r>
      <w:r w:rsidR="00B02049" w:rsidRPr="006B681B">
        <w:rPr>
          <w:rFonts w:ascii="Times New Roman" w:hAnsi="Times New Roman" w:cs="Times New Roman"/>
          <w:sz w:val="26"/>
          <w:szCs w:val="26"/>
        </w:rPr>
        <w:t xml:space="preserve">число прибывших в город составит </w:t>
      </w:r>
      <w:r w:rsidR="0084040B" w:rsidRPr="006B681B">
        <w:rPr>
          <w:rFonts w:ascii="Times New Roman" w:hAnsi="Times New Roman" w:cs="Times New Roman"/>
          <w:sz w:val="26"/>
          <w:szCs w:val="26"/>
        </w:rPr>
        <w:t>3 417</w:t>
      </w:r>
      <w:r w:rsidR="00B02049" w:rsidRPr="006B681B">
        <w:rPr>
          <w:rFonts w:ascii="Times New Roman" w:hAnsi="Times New Roman" w:cs="Times New Roman"/>
          <w:sz w:val="26"/>
          <w:szCs w:val="26"/>
        </w:rPr>
        <w:t xml:space="preserve"> человек, а выбывших – </w:t>
      </w:r>
      <w:r w:rsidR="0084040B" w:rsidRPr="006B681B">
        <w:rPr>
          <w:rFonts w:ascii="Times New Roman" w:hAnsi="Times New Roman" w:cs="Times New Roman"/>
          <w:sz w:val="26"/>
          <w:szCs w:val="26"/>
        </w:rPr>
        <w:t>2 996</w:t>
      </w:r>
      <w:r w:rsidR="00B02049" w:rsidRPr="006B681B">
        <w:rPr>
          <w:rFonts w:ascii="Times New Roman" w:hAnsi="Times New Roman" w:cs="Times New Roman"/>
          <w:sz w:val="26"/>
          <w:szCs w:val="26"/>
        </w:rPr>
        <w:t xml:space="preserve"> человек, миграционное </w:t>
      </w:r>
      <w:r w:rsidR="00394AD5" w:rsidRPr="006B681B">
        <w:rPr>
          <w:rFonts w:ascii="Times New Roman" w:hAnsi="Times New Roman" w:cs="Times New Roman"/>
          <w:sz w:val="26"/>
          <w:szCs w:val="26"/>
        </w:rPr>
        <w:t>увеличение</w:t>
      </w:r>
      <w:r w:rsidR="00B02049" w:rsidRPr="006B681B">
        <w:rPr>
          <w:rFonts w:ascii="Times New Roman" w:hAnsi="Times New Roman" w:cs="Times New Roman"/>
          <w:sz w:val="26"/>
          <w:szCs w:val="26"/>
        </w:rPr>
        <w:t xml:space="preserve"> количества жителей произойдёт на </w:t>
      </w:r>
      <w:r w:rsidR="0084040B" w:rsidRPr="006B681B">
        <w:rPr>
          <w:rFonts w:ascii="Times New Roman" w:hAnsi="Times New Roman" w:cs="Times New Roman"/>
          <w:sz w:val="26"/>
          <w:szCs w:val="26"/>
        </w:rPr>
        <w:t>421</w:t>
      </w:r>
      <w:r w:rsidR="00394AD5" w:rsidRPr="006B681B">
        <w:rPr>
          <w:rFonts w:ascii="Times New Roman" w:hAnsi="Times New Roman" w:cs="Times New Roman"/>
          <w:sz w:val="26"/>
          <w:szCs w:val="26"/>
        </w:rPr>
        <w:t xml:space="preserve"> человек</w:t>
      </w:r>
      <w:r w:rsidR="0084040B" w:rsidRPr="006B681B">
        <w:rPr>
          <w:rFonts w:ascii="Times New Roman" w:hAnsi="Times New Roman" w:cs="Times New Roman"/>
          <w:sz w:val="26"/>
          <w:szCs w:val="26"/>
        </w:rPr>
        <w:t>а</w:t>
      </w:r>
      <w:r w:rsidR="00B02049" w:rsidRPr="006B681B">
        <w:rPr>
          <w:rFonts w:ascii="Times New Roman" w:hAnsi="Times New Roman" w:cs="Times New Roman"/>
          <w:sz w:val="26"/>
          <w:szCs w:val="26"/>
        </w:rPr>
        <w:t xml:space="preserve">. </w:t>
      </w:r>
      <w:r w:rsidR="0084040B" w:rsidRPr="006B681B">
        <w:rPr>
          <w:rFonts w:ascii="Times New Roman" w:hAnsi="Times New Roman" w:cs="Times New Roman"/>
          <w:sz w:val="26"/>
          <w:szCs w:val="26"/>
        </w:rPr>
        <w:t>До 2018 года прогнозируется положительное сальдо миграции, темпы ежегодно будут расти</w:t>
      </w:r>
      <w:r w:rsidR="00E1628E" w:rsidRPr="006B681B">
        <w:rPr>
          <w:rFonts w:ascii="Times New Roman" w:hAnsi="Times New Roman" w:cs="Times New Roman"/>
          <w:sz w:val="26"/>
          <w:szCs w:val="26"/>
        </w:rPr>
        <w:t xml:space="preserve">, миграционный прирост составит </w:t>
      </w:r>
      <w:r w:rsidR="006F48DA" w:rsidRPr="006B681B">
        <w:rPr>
          <w:rFonts w:ascii="Times New Roman" w:hAnsi="Times New Roman" w:cs="Times New Roman"/>
          <w:sz w:val="26"/>
          <w:szCs w:val="26"/>
        </w:rPr>
        <w:t xml:space="preserve">от 430 человек в 2016 году до </w:t>
      </w:r>
      <w:r w:rsidR="002348A3" w:rsidRPr="006B681B">
        <w:rPr>
          <w:rFonts w:ascii="Times New Roman" w:hAnsi="Times New Roman" w:cs="Times New Roman"/>
          <w:sz w:val="26"/>
          <w:szCs w:val="26"/>
        </w:rPr>
        <w:t>4</w:t>
      </w:r>
      <w:r w:rsidR="0084040B" w:rsidRPr="006B681B">
        <w:rPr>
          <w:rFonts w:ascii="Times New Roman" w:hAnsi="Times New Roman" w:cs="Times New Roman"/>
          <w:sz w:val="26"/>
          <w:szCs w:val="26"/>
        </w:rPr>
        <w:t>82</w:t>
      </w:r>
      <w:r w:rsidR="00E1628E" w:rsidRPr="006B681B">
        <w:rPr>
          <w:rFonts w:ascii="Times New Roman" w:hAnsi="Times New Roman" w:cs="Times New Roman"/>
          <w:sz w:val="26"/>
          <w:szCs w:val="26"/>
        </w:rPr>
        <w:t xml:space="preserve"> человек</w:t>
      </w:r>
      <w:r w:rsidR="006F48DA" w:rsidRPr="006B681B">
        <w:rPr>
          <w:rFonts w:ascii="Times New Roman" w:hAnsi="Times New Roman" w:cs="Times New Roman"/>
          <w:sz w:val="26"/>
          <w:szCs w:val="26"/>
        </w:rPr>
        <w:t xml:space="preserve"> в 2018 году по второму варианту.</w:t>
      </w:r>
    </w:p>
    <w:p w:rsidR="00394AD5" w:rsidRPr="006B681B" w:rsidRDefault="00DF5D6A"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С</w:t>
      </w:r>
      <w:r w:rsidR="00394AD5" w:rsidRPr="006B681B">
        <w:rPr>
          <w:rFonts w:ascii="Times New Roman" w:hAnsi="Times New Roman" w:cs="Times New Roman"/>
          <w:sz w:val="26"/>
          <w:szCs w:val="26"/>
        </w:rPr>
        <w:t xml:space="preserve">реднегодовая численность </w:t>
      </w:r>
      <w:r w:rsidRPr="006B681B">
        <w:rPr>
          <w:rFonts w:ascii="Times New Roman" w:hAnsi="Times New Roman" w:cs="Times New Roman"/>
          <w:sz w:val="26"/>
          <w:szCs w:val="26"/>
        </w:rPr>
        <w:t xml:space="preserve">постоянного </w:t>
      </w:r>
      <w:r w:rsidR="00394AD5" w:rsidRPr="006B681B">
        <w:rPr>
          <w:rFonts w:ascii="Times New Roman" w:hAnsi="Times New Roman" w:cs="Times New Roman"/>
          <w:sz w:val="26"/>
          <w:szCs w:val="26"/>
        </w:rPr>
        <w:t xml:space="preserve">населения города </w:t>
      </w:r>
      <w:r w:rsidR="0084040B" w:rsidRPr="006B681B">
        <w:rPr>
          <w:rFonts w:ascii="Times New Roman" w:hAnsi="Times New Roman" w:cs="Times New Roman"/>
          <w:sz w:val="26"/>
          <w:szCs w:val="26"/>
        </w:rPr>
        <w:t xml:space="preserve">Когалыма </w:t>
      </w:r>
      <w:r w:rsidR="00394AD5" w:rsidRPr="006B681B">
        <w:rPr>
          <w:rFonts w:ascii="Times New Roman" w:hAnsi="Times New Roman" w:cs="Times New Roman"/>
          <w:sz w:val="26"/>
          <w:szCs w:val="26"/>
        </w:rPr>
        <w:t>в 201</w:t>
      </w:r>
      <w:r w:rsidR="002348A3" w:rsidRPr="006B681B">
        <w:rPr>
          <w:rFonts w:ascii="Times New Roman" w:hAnsi="Times New Roman" w:cs="Times New Roman"/>
          <w:sz w:val="26"/>
          <w:szCs w:val="26"/>
        </w:rPr>
        <w:t>6</w:t>
      </w:r>
      <w:r w:rsidR="00394AD5" w:rsidRPr="006B681B">
        <w:rPr>
          <w:rFonts w:ascii="Times New Roman" w:hAnsi="Times New Roman" w:cs="Times New Roman"/>
          <w:sz w:val="26"/>
          <w:szCs w:val="26"/>
        </w:rPr>
        <w:t xml:space="preserve"> году </w:t>
      </w:r>
      <w:r w:rsidR="00C9246E" w:rsidRPr="006B681B">
        <w:rPr>
          <w:rFonts w:ascii="Times New Roman" w:hAnsi="Times New Roman" w:cs="Times New Roman"/>
          <w:sz w:val="26"/>
          <w:szCs w:val="26"/>
        </w:rPr>
        <w:t>по прогнозу составит</w:t>
      </w:r>
      <w:r w:rsidRPr="006B681B">
        <w:rPr>
          <w:rFonts w:ascii="Times New Roman" w:hAnsi="Times New Roman" w:cs="Times New Roman"/>
          <w:sz w:val="26"/>
          <w:szCs w:val="26"/>
        </w:rPr>
        <w:t xml:space="preserve"> </w:t>
      </w:r>
      <w:r w:rsidR="002348A3" w:rsidRPr="006B681B">
        <w:rPr>
          <w:rFonts w:ascii="Times New Roman" w:hAnsi="Times New Roman" w:cs="Times New Roman"/>
          <w:sz w:val="26"/>
          <w:szCs w:val="26"/>
        </w:rPr>
        <w:t>64,</w:t>
      </w:r>
      <w:r w:rsidR="0084040B" w:rsidRPr="006B681B">
        <w:rPr>
          <w:rFonts w:ascii="Times New Roman" w:hAnsi="Times New Roman" w:cs="Times New Roman"/>
          <w:sz w:val="26"/>
          <w:szCs w:val="26"/>
        </w:rPr>
        <w:t>09</w:t>
      </w:r>
      <w:r w:rsidRPr="006B681B">
        <w:rPr>
          <w:rFonts w:ascii="Times New Roman" w:hAnsi="Times New Roman" w:cs="Times New Roman"/>
          <w:sz w:val="26"/>
          <w:szCs w:val="26"/>
        </w:rPr>
        <w:t xml:space="preserve"> тыс. человек с перспективой увеличения к 201</w:t>
      </w:r>
      <w:r w:rsidR="002348A3" w:rsidRPr="006B681B">
        <w:rPr>
          <w:rFonts w:ascii="Times New Roman" w:hAnsi="Times New Roman" w:cs="Times New Roman"/>
          <w:sz w:val="26"/>
          <w:szCs w:val="26"/>
        </w:rPr>
        <w:t>8</w:t>
      </w:r>
      <w:r w:rsidRPr="006B681B">
        <w:rPr>
          <w:rFonts w:ascii="Times New Roman" w:hAnsi="Times New Roman" w:cs="Times New Roman"/>
          <w:sz w:val="26"/>
          <w:szCs w:val="26"/>
        </w:rPr>
        <w:t xml:space="preserve"> году до </w:t>
      </w:r>
      <w:r w:rsidR="002348A3" w:rsidRPr="006B681B">
        <w:rPr>
          <w:rFonts w:ascii="Times New Roman" w:hAnsi="Times New Roman" w:cs="Times New Roman"/>
          <w:sz w:val="26"/>
          <w:szCs w:val="26"/>
        </w:rPr>
        <w:t>66,</w:t>
      </w:r>
      <w:r w:rsidR="0084040B" w:rsidRPr="006B681B">
        <w:rPr>
          <w:rFonts w:ascii="Times New Roman" w:hAnsi="Times New Roman" w:cs="Times New Roman"/>
          <w:sz w:val="26"/>
          <w:szCs w:val="26"/>
        </w:rPr>
        <w:t>57</w:t>
      </w:r>
      <w:r w:rsidRPr="006B681B">
        <w:rPr>
          <w:rFonts w:ascii="Times New Roman" w:hAnsi="Times New Roman" w:cs="Times New Roman"/>
          <w:sz w:val="26"/>
          <w:szCs w:val="26"/>
        </w:rPr>
        <w:t xml:space="preserve"> тыс. человек по второму варианту. </w:t>
      </w:r>
    </w:p>
    <w:p w:rsidR="00961AC1" w:rsidRPr="006B681B" w:rsidRDefault="00961AC1" w:rsidP="0022054C">
      <w:pPr>
        <w:pStyle w:val="1"/>
        <w:spacing w:before="0" w:line="240" w:lineRule="auto"/>
        <w:jc w:val="center"/>
        <w:rPr>
          <w:rFonts w:ascii="Times New Roman" w:hAnsi="Times New Roman" w:cs="Times New Roman"/>
          <w:b/>
          <w:color w:val="auto"/>
          <w:sz w:val="26"/>
          <w:szCs w:val="26"/>
        </w:rPr>
      </w:pPr>
    </w:p>
    <w:p w:rsidR="00265D4D" w:rsidRPr="006B681B" w:rsidRDefault="00051BE3" w:rsidP="0022054C">
      <w:pPr>
        <w:pStyle w:val="1"/>
        <w:spacing w:before="0" w:line="240" w:lineRule="auto"/>
        <w:jc w:val="center"/>
        <w:rPr>
          <w:rFonts w:ascii="Times New Roman" w:hAnsi="Times New Roman" w:cs="Times New Roman"/>
          <w:b/>
          <w:color w:val="auto"/>
          <w:sz w:val="26"/>
          <w:szCs w:val="26"/>
        </w:rPr>
      </w:pPr>
      <w:bookmarkStart w:id="12" w:name="_Toc435801074"/>
      <w:r w:rsidRPr="006B681B">
        <w:rPr>
          <w:rFonts w:ascii="Times New Roman" w:hAnsi="Times New Roman" w:cs="Times New Roman"/>
          <w:b/>
          <w:color w:val="auto"/>
          <w:sz w:val="26"/>
          <w:szCs w:val="26"/>
        </w:rPr>
        <w:t xml:space="preserve">8. </w:t>
      </w:r>
      <w:r w:rsidR="001A0352" w:rsidRPr="006B681B">
        <w:rPr>
          <w:rFonts w:ascii="Times New Roman" w:hAnsi="Times New Roman" w:cs="Times New Roman"/>
          <w:b/>
          <w:color w:val="auto"/>
          <w:sz w:val="26"/>
          <w:szCs w:val="26"/>
        </w:rPr>
        <w:t>Развитие отраслей социальной сферы</w:t>
      </w:r>
      <w:bookmarkEnd w:id="12"/>
    </w:p>
    <w:p w:rsidR="00C05A0B" w:rsidRPr="006B681B" w:rsidRDefault="00C05A0B" w:rsidP="0022054C">
      <w:pPr>
        <w:spacing w:after="0" w:line="240" w:lineRule="auto"/>
        <w:rPr>
          <w:rFonts w:ascii="Times New Roman" w:hAnsi="Times New Roman" w:cs="Times New Roman"/>
        </w:rPr>
      </w:pPr>
    </w:p>
    <w:p w:rsidR="00051BE3" w:rsidRPr="006B681B" w:rsidRDefault="00051BE3" w:rsidP="0022054C">
      <w:pPr>
        <w:autoSpaceDE w:val="0"/>
        <w:autoSpaceDN w:val="0"/>
        <w:adjustRightInd w:val="0"/>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Приоритетными направлениями развития социально-культурной сферы на 2016 – 2018 годы станут повышение эффективности функционирования и обеспечение доступности учреждений социальной сферы, дальнейшее развитие материально-технической базы учреждений.</w:t>
      </w:r>
    </w:p>
    <w:p w:rsidR="008624C7" w:rsidRPr="006B681B" w:rsidRDefault="008624C7" w:rsidP="0022054C">
      <w:pPr>
        <w:spacing w:after="0" w:line="240" w:lineRule="auto"/>
        <w:jc w:val="center"/>
        <w:rPr>
          <w:rFonts w:ascii="Times New Roman" w:hAnsi="Times New Roman" w:cs="Times New Roman"/>
          <w:sz w:val="26"/>
          <w:szCs w:val="26"/>
        </w:rPr>
      </w:pPr>
    </w:p>
    <w:p w:rsidR="00051BE3" w:rsidRPr="006B681B" w:rsidRDefault="00051BE3" w:rsidP="0022054C">
      <w:pPr>
        <w:pStyle w:val="1"/>
        <w:spacing w:before="0" w:line="240" w:lineRule="auto"/>
        <w:jc w:val="center"/>
        <w:rPr>
          <w:rFonts w:ascii="Times New Roman" w:hAnsi="Times New Roman" w:cs="Times New Roman"/>
          <w:color w:val="auto"/>
          <w:sz w:val="26"/>
          <w:szCs w:val="26"/>
        </w:rPr>
      </w:pPr>
      <w:bookmarkStart w:id="13" w:name="_Toc435801075"/>
      <w:r w:rsidRPr="006B681B">
        <w:rPr>
          <w:rFonts w:ascii="Times New Roman" w:hAnsi="Times New Roman" w:cs="Times New Roman"/>
          <w:color w:val="auto"/>
          <w:sz w:val="26"/>
          <w:szCs w:val="26"/>
        </w:rPr>
        <w:t>Образование</w:t>
      </w:r>
      <w:bookmarkEnd w:id="13"/>
    </w:p>
    <w:p w:rsidR="00051BE3" w:rsidRPr="006B681B" w:rsidRDefault="00051BE3" w:rsidP="0022054C">
      <w:pPr>
        <w:spacing w:after="0" w:line="240" w:lineRule="auto"/>
        <w:jc w:val="both"/>
        <w:rPr>
          <w:rFonts w:ascii="Times New Roman" w:hAnsi="Times New Roman" w:cs="Times New Roman"/>
          <w:sz w:val="26"/>
          <w:szCs w:val="26"/>
        </w:rPr>
      </w:pPr>
    </w:p>
    <w:p w:rsidR="00051BE3" w:rsidRPr="006B681B" w:rsidRDefault="00051BE3" w:rsidP="0022054C">
      <w:pPr>
        <w:spacing w:after="0" w:line="240" w:lineRule="auto"/>
        <w:ind w:firstLine="720"/>
        <w:jc w:val="both"/>
        <w:rPr>
          <w:rFonts w:ascii="Times New Roman" w:hAnsi="Times New Roman" w:cs="Times New Roman"/>
          <w:sz w:val="26"/>
          <w:szCs w:val="26"/>
        </w:rPr>
      </w:pPr>
      <w:r w:rsidRPr="006B681B">
        <w:rPr>
          <w:rFonts w:ascii="Times New Roman" w:hAnsi="Times New Roman" w:cs="Times New Roman"/>
          <w:sz w:val="26"/>
          <w:szCs w:val="26"/>
        </w:rPr>
        <w:t>Основными задачами в области образования в прогнозном периоде будут являться: ускорение модернизации образования, стимулирование доступности качественного образования, обеспечение развития его инновационного характера.</w:t>
      </w:r>
    </w:p>
    <w:p w:rsidR="00051BE3" w:rsidRPr="006B681B" w:rsidRDefault="00051BE3" w:rsidP="0022054C">
      <w:pPr>
        <w:spacing w:after="0" w:line="240" w:lineRule="auto"/>
        <w:ind w:firstLine="709"/>
        <w:jc w:val="center"/>
        <w:rPr>
          <w:rFonts w:ascii="Times New Roman" w:hAnsi="Times New Roman" w:cs="Times New Roman"/>
          <w:sz w:val="26"/>
          <w:szCs w:val="26"/>
          <w:lang w:eastAsia="ru-RU"/>
        </w:rPr>
      </w:pPr>
    </w:p>
    <w:p w:rsidR="00184A4B" w:rsidRPr="006B681B" w:rsidRDefault="00184A4B" w:rsidP="0022054C">
      <w:pPr>
        <w:spacing w:after="0" w:line="240" w:lineRule="auto"/>
        <w:ind w:firstLine="709"/>
        <w:jc w:val="center"/>
        <w:rPr>
          <w:rFonts w:ascii="Times New Roman" w:hAnsi="Times New Roman" w:cs="Times New Roman"/>
          <w:sz w:val="26"/>
          <w:szCs w:val="26"/>
          <w:lang w:eastAsia="ru-RU"/>
        </w:rPr>
      </w:pPr>
    </w:p>
    <w:p w:rsidR="00B73EC7" w:rsidRPr="006B681B" w:rsidRDefault="008F456F"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Одной из приоритетных задач является обеспечение доступности и повышение качества дошкольного образования. </w:t>
      </w:r>
      <w:r w:rsidR="00051BE3" w:rsidRPr="006B681B">
        <w:rPr>
          <w:rFonts w:ascii="Times New Roman" w:hAnsi="Times New Roman" w:cs="Times New Roman"/>
          <w:sz w:val="26"/>
          <w:szCs w:val="26"/>
        </w:rPr>
        <w:t xml:space="preserve">В городе на </w:t>
      </w:r>
      <w:r w:rsidR="00B73EC7" w:rsidRPr="006B681B">
        <w:rPr>
          <w:rFonts w:ascii="Times New Roman" w:hAnsi="Times New Roman" w:cs="Times New Roman"/>
          <w:sz w:val="26"/>
          <w:szCs w:val="26"/>
        </w:rPr>
        <w:t>1 января 2015 года функционировало</w:t>
      </w:r>
      <w:r w:rsidR="00051BE3" w:rsidRPr="006B681B">
        <w:rPr>
          <w:rFonts w:ascii="Times New Roman" w:hAnsi="Times New Roman" w:cs="Times New Roman"/>
          <w:sz w:val="26"/>
          <w:szCs w:val="26"/>
        </w:rPr>
        <w:t xml:space="preserve"> 14 детских дошкольных </w:t>
      </w:r>
      <w:r w:rsidR="000B21B9">
        <w:rPr>
          <w:rFonts w:ascii="Times New Roman" w:hAnsi="Times New Roman" w:cs="Times New Roman"/>
          <w:sz w:val="26"/>
          <w:szCs w:val="26"/>
        </w:rPr>
        <w:t>организаций с общим количеством мест 4 101</w:t>
      </w:r>
      <w:r w:rsidR="00051BE3" w:rsidRPr="006B681B">
        <w:rPr>
          <w:rFonts w:ascii="Times New Roman" w:hAnsi="Times New Roman" w:cs="Times New Roman"/>
          <w:sz w:val="26"/>
          <w:szCs w:val="26"/>
        </w:rPr>
        <w:t xml:space="preserve">, в которых </w:t>
      </w:r>
      <w:r w:rsidR="004C6552" w:rsidRPr="006B681B">
        <w:rPr>
          <w:rFonts w:ascii="Times New Roman" w:hAnsi="Times New Roman" w:cs="Times New Roman"/>
          <w:sz w:val="26"/>
          <w:szCs w:val="26"/>
        </w:rPr>
        <w:t>воспитыва</w:t>
      </w:r>
      <w:r w:rsidR="00B73EC7" w:rsidRPr="006B681B">
        <w:rPr>
          <w:rFonts w:ascii="Times New Roman" w:hAnsi="Times New Roman" w:cs="Times New Roman"/>
          <w:sz w:val="26"/>
          <w:szCs w:val="26"/>
        </w:rPr>
        <w:t>лось</w:t>
      </w:r>
      <w:r w:rsidR="004C6552" w:rsidRPr="006B681B">
        <w:rPr>
          <w:rFonts w:ascii="Times New Roman" w:hAnsi="Times New Roman" w:cs="Times New Roman"/>
          <w:sz w:val="26"/>
          <w:szCs w:val="26"/>
        </w:rPr>
        <w:t xml:space="preserve"> 4</w:t>
      </w:r>
      <w:r w:rsidR="00E15BA5" w:rsidRPr="006B681B">
        <w:rPr>
          <w:rFonts w:ascii="Times New Roman" w:hAnsi="Times New Roman" w:cs="Times New Roman"/>
          <w:sz w:val="26"/>
          <w:szCs w:val="26"/>
        </w:rPr>
        <w:t xml:space="preserve"> </w:t>
      </w:r>
      <w:r w:rsidR="00051BE3" w:rsidRPr="006B681B">
        <w:rPr>
          <w:rFonts w:ascii="Times New Roman" w:hAnsi="Times New Roman" w:cs="Times New Roman"/>
          <w:sz w:val="26"/>
          <w:szCs w:val="26"/>
        </w:rPr>
        <w:t>0</w:t>
      </w:r>
      <w:r w:rsidR="00E15BA5" w:rsidRPr="006B681B">
        <w:rPr>
          <w:rFonts w:ascii="Times New Roman" w:hAnsi="Times New Roman" w:cs="Times New Roman"/>
          <w:sz w:val="26"/>
          <w:szCs w:val="26"/>
        </w:rPr>
        <w:t>22</w:t>
      </w:r>
      <w:r w:rsidR="00B73EC7" w:rsidRPr="006B681B">
        <w:rPr>
          <w:rFonts w:ascii="Times New Roman" w:hAnsi="Times New Roman" w:cs="Times New Roman"/>
          <w:sz w:val="26"/>
          <w:szCs w:val="26"/>
        </w:rPr>
        <w:t xml:space="preserve"> </w:t>
      </w:r>
      <w:r w:rsidR="000B21B9">
        <w:rPr>
          <w:rFonts w:ascii="Times New Roman" w:hAnsi="Times New Roman" w:cs="Times New Roman"/>
          <w:sz w:val="26"/>
          <w:szCs w:val="26"/>
        </w:rPr>
        <w:t>ребенка</w:t>
      </w:r>
      <w:r w:rsidR="00051BE3" w:rsidRPr="006B681B">
        <w:rPr>
          <w:rFonts w:ascii="Times New Roman" w:hAnsi="Times New Roman" w:cs="Times New Roman"/>
          <w:sz w:val="26"/>
          <w:szCs w:val="26"/>
        </w:rPr>
        <w:t xml:space="preserve">. </w:t>
      </w:r>
      <w:r w:rsidR="00B73EC7" w:rsidRPr="006B681B">
        <w:rPr>
          <w:rFonts w:ascii="Times New Roman" w:hAnsi="Times New Roman" w:cs="Times New Roman"/>
          <w:sz w:val="26"/>
          <w:szCs w:val="26"/>
        </w:rPr>
        <w:t>С 1 сентября 2015 года на основании постановлений Администрации города Когалыма произошла реорганизация дошкольных образовательных организаций (путем присоединения отдельных муниципальных автономных дошкольн</w:t>
      </w:r>
      <w:r w:rsidR="00711332" w:rsidRPr="006B681B">
        <w:rPr>
          <w:rFonts w:ascii="Times New Roman" w:hAnsi="Times New Roman" w:cs="Times New Roman"/>
          <w:sz w:val="26"/>
          <w:szCs w:val="26"/>
        </w:rPr>
        <w:t xml:space="preserve">ых образовательных организаций), всего функционирует 7 детских дошкольных </w:t>
      </w:r>
      <w:r w:rsidR="000B21B9">
        <w:rPr>
          <w:rFonts w:ascii="Times New Roman" w:hAnsi="Times New Roman" w:cs="Times New Roman"/>
          <w:sz w:val="26"/>
          <w:szCs w:val="26"/>
        </w:rPr>
        <w:t>организаций</w:t>
      </w:r>
      <w:r w:rsidR="00711332" w:rsidRPr="006B681B">
        <w:rPr>
          <w:rFonts w:ascii="Times New Roman" w:hAnsi="Times New Roman" w:cs="Times New Roman"/>
          <w:sz w:val="26"/>
          <w:szCs w:val="26"/>
        </w:rPr>
        <w:t>.</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Кроме того, в городе осуществляют свою деятельность два центра временного пребывания детей: «Теремок» и «Лунтик», предоставляющие на платной основе услуги по уходу и присмотру за детьми раннего возраста. </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Численность детей в дошкольных образовательных организациях в прогнозном периоде будет иметь положительную динамику, и к 2018 году составит </w:t>
      </w:r>
      <w:r w:rsidR="00E15BA5" w:rsidRPr="006B681B">
        <w:rPr>
          <w:rFonts w:ascii="Times New Roman" w:hAnsi="Times New Roman" w:cs="Times New Roman"/>
          <w:sz w:val="26"/>
          <w:szCs w:val="26"/>
        </w:rPr>
        <w:t>4 195</w:t>
      </w:r>
      <w:r w:rsidRPr="006B681B">
        <w:rPr>
          <w:rFonts w:ascii="Times New Roman" w:hAnsi="Times New Roman" w:cs="Times New Roman"/>
          <w:sz w:val="26"/>
          <w:szCs w:val="26"/>
        </w:rPr>
        <w:t xml:space="preserve"> человек или </w:t>
      </w:r>
      <w:r w:rsidR="00E15BA5" w:rsidRPr="006B681B">
        <w:rPr>
          <w:rFonts w:ascii="Times New Roman" w:hAnsi="Times New Roman" w:cs="Times New Roman"/>
          <w:sz w:val="26"/>
          <w:szCs w:val="26"/>
        </w:rPr>
        <w:t>104,3</w:t>
      </w:r>
      <w:r w:rsidRPr="006B681B">
        <w:rPr>
          <w:rFonts w:ascii="Times New Roman" w:hAnsi="Times New Roman" w:cs="Times New Roman"/>
          <w:sz w:val="26"/>
          <w:szCs w:val="26"/>
        </w:rPr>
        <w:t>% к уровню 2014 года.</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связи с вводом в</w:t>
      </w:r>
      <w:r w:rsidR="00562C49">
        <w:rPr>
          <w:rFonts w:ascii="Times New Roman" w:hAnsi="Times New Roman" w:cs="Times New Roman"/>
          <w:sz w:val="26"/>
          <w:szCs w:val="26"/>
        </w:rPr>
        <w:t xml:space="preserve"> эксплуатацию в 2014 году новой</w:t>
      </w:r>
      <w:r w:rsidRPr="006B681B">
        <w:rPr>
          <w:rFonts w:ascii="Times New Roman" w:hAnsi="Times New Roman" w:cs="Times New Roman"/>
          <w:sz w:val="26"/>
          <w:szCs w:val="26"/>
        </w:rPr>
        <w:t xml:space="preserve"> дошкольно</w:t>
      </w:r>
      <w:r w:rsidR="00562C49">
        <w:rPr>
          <w:rFonts w:ascii="Times New Roman" w:hAnsi="Times New Roman" w:cs="Times New Roman"/>
          <w:sz w:val="26"/>
          <w:szCs w:val="26"/>
        </w:rPr>
        <w:t>й</w:t>
      </w:r>
      <w:r w:rsidRPr="006B681B">
        <w:rPr>
          <w:rFonts w:ascii="Times New Roman" w:hAnsi="Times New Roman" w:cs="Times New Roman"/>
          <w:sz w:val="26"/>
          <w:szCs w:val="26"/>
        </w:rPr>
        <w:t xml:space="preserve"> </w:t>
      </w:r>
      <w:r w:rsidR="00562C49">
        <w:rPr>
          <w:rFonts w:ascii="Times New Roman" w:hAnsi="Times New Roman" w:cs="Times New Roman"/>
          <w:sz w:val="26"/>
          <w:szCs w:val="26"/>
        </w:rPr>
        <w:t>организации</w:t>
      </w:r>
      <w:r w:rsidRPr="006B681B">
        <w:rPr>
          <w:rFonts w:ascii="Times New Roman" w:hAnsi="Times New Roman" w:cs="Times New Roman"/>
          <w:sz w:val="26"/>
          <w:szCs w:val="26"/>
        </w:rPr>
        <w:t xml:space="preserve"> произошло увеличение числа мест в дошкольных организациях на </w:t>
      </w:r>
      <w:r w:rsidR="004C6552" w:rsidRPr="006B681B">
        <w:rPr>
          <w:rFonts w:ascii="Times New Roman" w:hAnsi="Times New Roman" w:cs="Times New Roman"/>
          <w:sz w:val="26"/>
          <w:szCs w:val="26"/>
        </w:rPr>
        <w:t>7,2</w:t>
      </w:r>
      <w:r w:rsidRPr="006B681B">
        <w:rPr>
          <w:rFonts w:ascii="Times New Roman" w:hAnsi="Times New Roman" w:cs="Times New Roman"/>
          <w:sz w:val="26"/>
          <w:szCs w:val="26"/>
        </w:rPr>
        <w:t xml:space="preserve">%, обеспеченность дошкольными образовательными </w:t>
      </w:r>
      <w:r w:rsidR="00562C49">
        <w:rPr>
          <w:rFonts w:ascii="Times New Roman" w:hAnsi="Times New Roman" w:cs="Times New Roman"/>
          <w:sz w:val="26"/>
          <w:szCs w:val="26"/>
        </w:rPr>
        <w:t>организациями</w:t>
      </w:r>
      <w:r w:rsidRPr="006B681B">
        <w:rPr>
          <w:rFonts w:ascii="Times New Roman" w:hAnsi="Times New Roman" w:cs="Times New Roman"/>
          <w:sz w:val="26"/>
          <w:szCs w:val="26"/>
        </w:rPr>
        <w:t xml:space="preserve"> в 2014 году составила </w:t>
      </w:r>
      <w:r w:rsidR="004C6552" w:rsidRPr="006B681B">
        <w:rPr>
          <w:rFonts w:ascii="Times New Roman" w:hAnsi="Times New Roman" w:cs="Times New Roman"/>
          <w:sz w:val="26"/>
          <w:szCs w:val="26"/>
        </w:rPr>
        <w:t>676,6 мест</w:t>
      </w:r>
      <w:r w:rsidRPr="006B681B">
        <w:rPr>
          <w:rFonts w:ascii="Times New Roman" w:hAnsi="Times New Roman" w:cs="Times New Roman"/>
          <w:sz w:val="26"/>
          <w:szCs w:val="26"/>
        </w:rPr>
        <w:t xml:space="preserve"> на 1000 детей в возрасте 1-6 лет.</w:t>
      </w:r>
    </w:p>
    <w:p w:rsidR="00562C49"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Обеспеченность дошкольными образовательными </w:t>
      </w:r>
      <w:r w:rsidR="00562C49">
        <w:rPr>
          <w:rFonts w:ascii="Times New Roman" w:hAnsi="Times New Roman" w:cs="Times New Roman"/>
          <w:sz w:val="26"/>
          <w:szCs w:val="26"/>
        </w:rPr>
        <w:t>организациями</w:t>
      </w:r>
      <w:r w:rsidR="004C6552" w:rsidRPr="006B681B">
        <w:rPr>
          <w:rFonts w:ascii="Times New Roman" w:hAnsi="Times New Roman" w:cs="Times New Roman"/>
          <w:sz w:val="26"/>
          <w:szCs w:val="26"/>
        </w:rPr>
        <w:t xml:space="preserve"> в 2015 году составит 665,9</w:t>
      </w:r>
      <w:r w:rsidRPr="006B681B">
        <w:rPr>
          <w:rFonts w:ascii="Times New Roman" w:hAnsi="Times New Roman" w:cs="Times New Roman"/>
          <w:sz w:val="26"/>
          <w:szCs w:val="26"/>
        </w:rPr>
        <w:t xml:space="preserve"> мест на 1000 детей в возрасте 1-6 лет, снизившись по отношению к 2014 году на 1,6%, снижение обеспеченности в прогнозном периоде объясняется ростом рождаемости в городе. </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Потребность детей в возрасте от 3 до 7 лет в услугах дошкольного образования удовлетворена полностью.</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2014 году в городе продолжало работать 7 общеобразовательных </w:t>
      </w:r>
      <w:r w:rsidR="009534DA">
        <w:rPr>
          <w:rFonts w:ascii="Times New Roman" w:hAnsi="Times New Roman" w:cs="Times New Roman"/>
          <w:sz w:val="26"/>
          <w:szCs w:val="26"/>
        </w:rPr>
        <w:t>организаций</w:t>
      </w:r>
      <w:r w:rsidR="00B73EC7" w:rsidRPr="006B681B">
        <w:rPr>
          <w:rFonts w:ascii="Times New Roman" w:hAnsi="Times New Roman" w:cs="Times New Roman"/>
          <w:sz w:val="26"/>
          <w:szCs w:val="26"/>
        </w:rPr>
        <w:t xml:space="preserve">, в которых обучается 7 </w:t>
      </w:r>
      <w:r w:rsidRPr="006B681B">
        <w:rPr>
          <w:rFonts w:ascii="Times New Roman" w:hAnsi="Times New Roman" w:cs="Times New Roman"/>
          <w:sz w:val="26"/>
          <w:szCs w:val="26"/>
        </w:rPr>
        <w:t>0</w:t>
      </w:r>
      <w:r w:rsidR="00B73EC7" w:rsidRPr="006B681B">
        <w:rPr>
          <w:rFonts w:ascii="Times New Roman" w:hAnsi="Times New Roman" w:cs="Times New Roman"/>
          <w:sz w:val="26"/>
          <w:szCs w:val="26"/>
        </w:rPr>
        <w:t>25</w:t>
      </w:r>
      <w:r w:rsidRPr="006B681B">
        <w:rPr>
          <w:rFonts w:ascii="Times New Roman" w:hAnsi="Times New Roman" w:cs="Times New Roman"/>
          <w:sz w:val="26"/>
          <w:szCs w:val="26"/>
        </w:rPr>
        <w:t xml:space="preserve"> человек. В дальнейшем прогнозируется увеличение численности учащихся в общеобразовательных организациях, которая к 2018 году составит </w:t>
      </w:r>
      <w:r w:rsidR="00B73EC7" w:rsidRPr="006B681B">
        <w:rPr>
          <w:rFonts w:ascii="Times New Roman" w:hAnsi="Times New Roman" w:cs="Times New Roman"/>
          <w:sz w:val="26"/>
          <w:szCs w:val="26"/>
        </w:rPr>
        <w:t xml:space="preserve">7 </w:t>
      </w:r>
      <w:r w:rsidR="001B73EC" w:rsidRPr="006B681B">
        <w:rPr>
          <w:rFonts w:ascii="Times New Roman" w:hAnsi="Times New Roman" w:cs="Times New Roman"/>
          <w:sz w:val="26"/>
          <w:szCs w:val="26"/>
        </w:rPr>
        <w:t>300 человек</w:t>
      </w:r>
      <w:r w:rsidRPr="006B681B">
        <w:rPr>
          <w:rFonts w:ascii="Times New Roman" w:hAnsi="Times New Roman" w:cs="Times New Roman"/>
          <w:sz w:val="26"/>
          <w:szCs w:val="26"/>
        </w:rPr>
        <w:t xml:space="preserve">. </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Численность учителей в 2014 году снизилась в сравнении с 2013 годом на 10 человек, что связано с выходом педагогов на пенсию. Таким образом, возросла нагрузка с 16,5 учащихся на 1 учителя до 16,9, кроме того, в связи с ростом численности обучающихся в общеобразовательных </w:t>
      </w:r>
      <w:r w:rsidR="009534DA">
        <w:rPr>
          <w:rFonts w:ascii="Times New Roman" w:hAnsi="Times New Roman" w:cs="Times New Roman"/>
          <w:sz w:val="26"/>
          <w:szCs w:val="26"/>
        </w:rPr>
        <w:t>организациях</w:t>
      </w:r>
      <w:r w:rsidRPr="006B681B">
        <w:rPr>
          <w:rFonts w:ascii="Times New Roman" w:hAnsi="Times New Roman" w:cs="Times New Roman"/>
          <w:sz w:val="26"/>
          <w:szCs w:val="26"/>
        </w:rPr>
        <w:t xml:space="preserve"> в 2014 году (рост на 0,2% к 2013 году) увеличилась доля учащихся, занимающихся во вторую смену до 33%.</w:t>
      </w:r>
    </w:p>
    <w:p w:rsidR="00F54020" w:rsidRPr="006B681B" w:rsidRDefault="00F54020" w:rsidP="0022054C">
      <w:pPr>
        <w:spacing w:after="0" w:line="240" w:lineRule="auto"/>
        <w:ind w:firstLine="720"/>
        <w:jc w:val="both"/>
        <w:rPr>
          <w:rFonts w:ascii="Times New Roman" w:hAnsi="Times New Roman" w:cs="Times New Roman"/>
          <w:sz w:val="26"/>
          <w:szCs w:val="26"/>
        </w:rPr>
      </w:pPr>
    </w:p>
    <w:p w:rsidR="00051BE3" w:rsidRPr="006B681B" w:rsidRDefault="00051BE3" w:rsidP="0022054C">
      <w:pPr>
        <w:spacing w:after="0" w:line="240" w:lineRule="auto"/>
        <w:jc w:val="both"/>
        <w:rPr>
          <w:rFonts w:ascii="Times New Roman" w:hAnsi="Times New Roman" w:cs="Times New Roman"/>
          <w:sz w:val="26"/>
          <w:szCs w:val="26"/>
        </w:rPr>
      </w:pPr>
      <w:r w:rsidRPr="006B681B">
        <w:rPr>
          <w:rFonts w:ascii="Times New Roman" w:hAnsi="Times New Roman" w:cs="Times New Roman"/>
          <w:noProof/>
          <w:sz w:val="26"/>
          <w:szCs w:val="26"/>
          <w:lang w:eastAsia="ru-RU"/>
        </w:rPr>
        <w:drawing>
          <wp:inline distT="0" distB="0" distL="0" distR="0" wp14:anchorId="0F13DF1E" wp14:editId="08633467">
            <wp:extent cx="6391910" cy="3234906"/>
            <wp:effectExtent l="0" t="0" r="8890" b="3810"/>
            <wp:docPr id="9"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Систему среднего профессионального образования в городе в 2014 году представляло бюджетное учреждение профессионального образования Ханты-Мансийского автономного округа-Югры «Когалымский политехнический колледж»</w:t>
      </w:r>
      <w:r w:rsidR="0051290C" w:rsidRPr="006B681B">
        <w:rPr>
          <w:rFonts w:ascii="Times New Roman" w:hAnsi="Times New Roman" w:cs="Times New Roman"/>
          <w:sz w:val="26"/>
          <w:szCs w:val="26"/>
        </w:rPr>
        <w:t>.</w:t>
      </w:r>
      <w:r w:rsidRPr="006B681B">
        <w:rPr>
          <w:rFonts w:ascii="Times New Roman" w:hAnsi="Times New Roman" w:cs="Times New Roman"/>
          <w:sz w:val="26"/>
          <w:szCs w:val="26"/>
        </w:rPr>
        <w:t xml:space="preserve"> Численность обучающихся в 2014 году составила 440 человек. </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Деятельность филиалов Тюменского государственного университета, Тюменского государственного нефтегазового университета на территории города Когалыма прекращена.</w:t>
      </w:r>
    </w:p>
    <w:p w:rsidR="00961AC1" w:rsidRDefault="00961AC1" w:rsidP="0022054C">
      <w:pPr>
        <w:pStyle w:val="1"/>
        <w:spacing w:before="0" w:line="240" w:lineRule="auto"/>
        <w:jc w:val="center"/>
        <w:rPr>
          <w:rFonts w:ascii="Times New Roman" w:hAnsi="Times New Roman" w:cs="Times New Roman"/>
          <w:color w:val="auto"/>
          <w:sz w:val="26"/>
          <w:szCs w:val="26"/>
        </w:rPr>
      </w:pPr>
    </w:p>
    <w:p w:rsidR="00051BE3" w:rsidRPr="006B681B" w:rsidRDefault="00051BE3" w:rsidP="0022054C">
      <w:pPr>
        <w:pStyle w:val="1"/>
        <w:spacing w:before="0" w:line="240" w:lineRule="auto"/>
        <w:jc w:val="center"/>
        <w:rPr>
          <w:rFonts w:ascii="Times New Roman" w:hAnsi="Times New Roman" w:cs="Times New Roman"/>
          <w:color w:val="auto"/>
          <w:sz w:val="26"/>
          <w:szCs w:val="26"/>
        </w:rPr>
      </w:pPr>
      <w:bookmarkStart w:id="14" w:name="_Toc435801076"/>
      <w:r w:rsidRPr="006B681B">
        <w:rPr>
          <w:rFonts w:ascii="Times New Roman" w:hAnsi="Times New Roman" w:cs="Times New Roman"/>
          <w:color w:val="auto"/>
          <w:sz w:val="26"/>
          <w:szCs w:val="26"/>
        </w:rPr>
        <w:t>Здравоохранение</w:t>
      </w:r>
      <w:bookmarkEnd w:id="14"/>
    </w:p>
    <w:p w:rsidR="00051BE3" w:rsidRPr="006B681B" w:rsidRDefault="00051BE3" w:rsidP="0022054C">
      <w:pPr>
        <w:spacing w:after="0" w:line="240" w:lineRule="auto"/>
        <w:ind w:firstLine="720"/>
        <w:jc w:val="both"/>
        <w:rPr>
          <w:rFonts w:ascii="Times New Roman" w:hAnsi="Times New Roman" w:cs="Times New Roman"/>
          <w:sz w:val="26"/>
          <w:szCs w:val="26"/>
        </w:rPr>
      </w:pP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сфере здравоохранения основной целью на предстоящий период является улучшение состояния здоровья населения на основе повышения доступности и качества медицинской помощи путем предоставления необходимого объема медицинских услуг.</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Основным учреждением здравоохранения в городе является бюджетное учреждение Ханты-Мансийского автономного округа – Югры «Когалымская городская больница», коечный фонд которого в 2014 го</w:t>
      </w:r>
      <w:r w:rsidR="0051290C" w:rsidRPr="006B681B">
        <w:rPr>
          <w:rFonts w:ascii="Times New Roman" w:hAnsi="Times New Roman" w:cs="Times New Roman"/>
          <w:sz w:val="26"/>
          <w:szCs w:val="26"/>
        </w:rPr>
        <w:t>ду составляет 315 коек</w:t>
      </w:r>
      <w:r w:rsidRPr="006B681B">
        <w:rPr>
          <w:rFonts w:ascii="Times New Roman" w:hAnsi="Times New Roman" w:cs="Times New Roman"/>
          <w:sz w:val="26"/>
          <w:szCs w:val="26"/>
        </w:rPr>
        <w:t>.</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Пропускная способность амбулаторно-поликлинических подразделений больницы в 2014 году составляет 1 598 посещений в смену.</w:t>
      </w:r>
    </w:p>
    <w:p w:rsidR="00051BE3" w:rsidRPr="006B681B" w:rsidRDefault="00051BE3" w:rsidP="0022054C">
      <w:pPr>
        <w:spacing w:after="0" w:line="240" w:lineRule="auto"/>
        <w:ind w:firstLine="720"/>
        <w:jc w:val="both"/>
        <w:rPr>
          <w:rFonts w:ascii="Times New Roman" w:hAnsi="Times New Roman" w:cs="Times New Roman"/>
          <w:sz w:val="26"/>
          <w:szCs w:val="26"/>
        </w:rPr>
      </w:pPr>
    </w:p>
    <w:p w:rsidR="00051BE3" w:rsidRPr="006B681B" w:rsidRDefault="00051BE3" w:rsidP="0022054C">
      <w:pPr>
        <w:spacing w:after="0" w:line="240" w:lineRule="auto"/>
        <w:jc w:val="both"/>
        <w:rPr>
          <w:rFonts w:ascii="Times New Roman" w:hAnsi="Times New Roman" w:cs="Times New Roman"/>
          <w:sz w:val="26"/>
          <w:szCs w:val="26"/>
        </w:rPr>
      </w:pPr>
      <w:r w:rsidRPr="006B681B">
        <w:rPr>
          <w:rFonts w:ascii="Times New Roman" w:hAnsi="Times New Roman" w:cs="Times New Roman"/>
          <w:noProof/>
          <w:sz w:val="26"/>
          <w:szCs w:val="26"/>
          <w:lang w:eastAsia="ru-RU"/>
        </w:rPr>
        <w:drawing>
          <wp:inline distT="0" distB="0" distL="0" distR="0" wp14:anchorId="60DE173A" wp14:editId="432DF4AC">
            <wp:extent cx="6035040" cy="3237865"/>
            <wp:effectExtent l="0" t="0" r="3810" b="635"/>
            <wp:docPr id="10"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1BE3" w:rsidRPr="006B681B" w:rsidRDefault="00051BE3" w:rsidP="0022054C">
      <w:pPr>
        <w:spacing w:after="0" w:line="240" w:lineRule="auto"/>
        <w:ind w:firstLine="720"/>
        <w:jc w:val="both"/>
        <w:rPr>
          <w:rFonts w:ascii="Times New Roman" w:hAnsi="Times New Roman" w:cs="Times New Roman"/>
          <w:sz w:val="26"/>
          <w:szCs w:val="26"/>
        </w:rPr>
      </w:pP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Обеспеченность больничными койками в 2015 году составит 49,6 коек на 10 тыс. населения, или 36,8% к нормативу, амбулаторно-поликлиническими учреждениями – 251,7 посещений в смену на 10 тыс. населения, или 138,7% к нормативу.</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среднесрочной перспективе, в связи с увеличением численности населения города, обеспеченность больничными койками и амбулаторно-поликлиническими учреждениями к нормативу продолжит снижаться и в 2018 году по прогнозу составит 36,0% и 131,3% соответственно.</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Общая численность врачей в учреждениях </w:t>
      </w:r>
      <w:r w:rsidR="00F54020" w:rsidRPr="006B681B">
        <w:rPr>
          <w:rFonts w:ascii="Times New Roman" w:hAnsi="Times New Roman" w:cs="Times New Roman"/>
          <w:sz w:val="26"/>
          <w:szCs w:val="26"/>
        </w:rPr>
        <w:t>здравоохранения города</w:t>
      </w:r>
      <w:r w:rsidRPr="006B681B">
        <w:rPr>
          <w:rFonts w:ascii="Times New Roman" w:hAnsi="Times New Roman" w:cs="Times New Roman"/>
          <w:sz w:val="26"/>
          <w:szCs w:val="26"/>
        </w:rPr>
        <w:t xml:space="preserve"> Когалыма в 2015 году составит 225 человек, среднего медицинского персонала – 624 человека. </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2015 году обеспеченность врачами на 10 тыс. человек населения составит 35,4 человек – 86,3% к нормативу. В прогнозируемом периоде обеспеченность врачами на 10 тыс. человек в 2018 году снизится до 82,2% к нормативу.</w:t>
      </w:r>
    </w:p>
    <w:p w:rsidR="00051BE3"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Обеспеченность средним медицинским персоналом на 10 тыс. человек населения в 2015 году составит 98,3 человека, или 86,0% к нормативу, в 2018 году данный показатель составит 81%.</w:t>
      </w:r>
    </w:p>
    <w:p w:rsidR="00C1199D" w:rsidRPr="006B681B" w:rsidRDefault="00C1199D" w:rsidP="0022054C">
      <w:pPr>
        <w:spacing w:after="0" w:line="240" w:lineRule="auto"/>
        <w:ind w:firstLine="709"/>
        <w:jc w:val="both"/>
        <w:rPr>
          <w:rFonts w:ascii="Times New Roman" w:hAnsi="Times New Roman" w:cs="Times New Roman"/>
          <w:sz w:val="26"/>
          <w:szCs w:val="26"/>
        </w:rPr>
      </w:pPr>
    </w:p>
    <w:p w:rsidR="00051BE3" w:rsidRPr="006B681B" w:rsidRDefault="00051BE3" w:rsidP="0022054C">
      <w:pPr>
        <w:pStyle w:val="1"/>
        <w:spacing w:before="0" w:line="240" w:lineRule="auto"/>
        <w:jc w:val="center"/>
        <w:rPr>
          <w:rFonts w:ascii="Times New Roman" w:hAnsi="Times New Roman" w:cs="Times New Roman"/>
          <w:color w:val="auto"/>
          <w:sz w:val="26"/>
          <w:szCs w:val="26"/>
        </w:rPr>
      </w:pPr>
      <w:bookmarkStart w:id="15" w:name="_Toc435801077"/>
      <w:r w:rsidRPr="006B681B">
        <w:rPr>
          <w:rFonts w:ascii="Times New Roman" w:hAnsi="Times New Roman" w:cs="Times New Roman"/>
          <w:color w:val="auto"/>
          <w:sz w:val="26"/>
          <w:szCs w:val="26"/>
        </w:rPr>
        <w:t>Культура</w:t>
      </w:r>
      <w:bookmarkEnd w:id="15"/>
    </w:p>
    <w:p w:rsidR="00051BE3" w:rsidRPr="006B681B" w:rsidRDefault="00051BE3" w:rsidP="0022054C">
      <w:pPr>
        <w:spacing w:after="0" w:line="240" w:lineRule="auto"/>
        <w:jc w:val="center"/>
        <w:rPr>
          <w:rFonts w:ascii="Times New Roman" w:hAnsi="Times New Roman" w:cs="Times New Roman"/>
          <w:sz w:val="26"/>
          <w:szCs w:val="26"/>
        </w:rPr>
      </w:pP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Деятельность учреждений культуры в прогнозном периоде будет ориентирована на сохранение и развитие культурного потенциала и культурного наследия города Когалыма, формирование культурного пространства и создание условий для обеспечения равного доступа к культурным ценностям и информационным ресурсам жителей города, гармонизацию культурной жизни города Когалыма и интеграцию в общероссийский культурный процесс.</w:t>
      </w:r>
    </w:p>
    <w:p w:rsidR="00AF4E5B"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Уровень обеспеченности населения города </w:t>
      </w:r>
      <w:r w:rsidR="009D7C1F" w:rsidRPr="006B681B">
        <w:rPr>
          <w:rFonts w:ascii="Times New Roman" w:hAnsi="Times New Roman" w:cs="Times New Roman"/>
          <w:sz w:val="26"/>
          <w:szCs w:val="26"/>
        </w:rPr>
        <w:t xml:space="preserve">Когалыма </w:t>
      </w:r>
      <w:r w:rsidRPr="006B681B">
        <w:rPr>
          <w:rFonts w:ascii="Times New Roman" w:hAnsi="Times New Roman" w:cs="Times New Roman"/>
          <w:sz w:val="26"/>
          <w:szCs w:val="26"/>
        </w:rPr>
        <w:t>библиотеками на 10 тыс. населения</w:t>
      </w:r>
      <w:r w:rsidR="00EA28CE" w:rsidRPr="006B681B">
        <w:rPr>
          <w:rFonts w:ascii="Times New Roman" w:hAnsi="Times New Roman" w:cs="Times New Roman"/>
          <w:sz w:val="26"/>
          <w:szCs w:val="26"/>
        </w:rPr>
        <w:t xml:space="preserve"> в 2014 году составлял 32,1% к нормативу, культурно – досуговыми учреждениями на 1 тыс. населения</w:t>
      </w:r>
      <w:r w:rsidR="00AF4E5B" w:rsidRPr="006B681B">
        <w:rPr>
          <w:rFonts w:ascii="Times New Roman" w:hAnsi="Times New Roman" w:cs="Times New Roman"/>
          <w:sz w:val="26"/>
          <w:szCs w:val="26"/>
        </w:rPr>
        <w:t xml:space="preserve"> – 73% к нормативу, кино</w:t>
      </w:r>
      <w:r w:rsidR="0076585C" w:rsidRPr="006B681B">
        <w:rPr>
          <w:rFonts w:ascii="Times New Roman" w:hAnsi="Times New Roman" w:cs="Times New Roman"/>
          <w:sz w:val="26"/>
          <w:szCs w:val="26"/>
        </w:rPr>
        <w:t>установками</w:t>
      </w:r>
      <w:r w:rsidR="00AF4E5B" w:rsidRPr="006B681B">
        <w:rPr>
          <w:rFonts w:ascii="Times New Roman" w:hAnsi="Times New Roman" w:cs="Times New Roman"/>
          <w:sz w:val="26"/>
          <w:szCs w:val="26"/>
        </w:rPr>
        <w:t xml:space="preserve"> – 100%,</w:t>
      </w:r>
      <w:r w:rsidRPr="006B681B">
        <w:rPr>
          <w:rFonts w:ascii="Times New Roman" w:hAnsi="Times New Roman" w:cs="Times New Roman"/>
          <w:sz w:val="26"/>
          <w:szCs w:val="26"/>
        </w:rPr>
        <w:t xml:space="preserve"> </w:t>
      </w:r>
      <w:r w:rsidR="00AF4E5B" w:rsidRPr="006B681B">
        <w:rPr>
          <w:rFonts w:ascii="Times New Roman" w:hAnsi="Times New Roman" w:cs="Times New Roman"/>
          <w:sz w:val="26"/>
          <w:szCs w:val="26"/>
        </w:rPr>
        <w:t xml:space="preserve">музеями – 50%. </w:t>
      </w:r>
    </w:p>
    <w:p w:rsidR="00051BE3" w:rsidRPr="006B681B" w:rsidRDefault="00AF4E5B"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w:t>
      </w:r>
      <w:r w:rsidR="00051BE3" w:rsidRPr="006B681B">
        <w:rPr>
          <w:rFonts w:ascii="Times New Roman" w:hAnsi="Times New Roman" w:cs="Times New Roman"/>
          <w:sz w:val="26"/>
          <w:szCs w:val="26"/>
        </w:rPr>
        <w:t xml:space="preserve"> 2015 году</w:t>
      </w:r>
      <w:r w:rsidRPr="006B681B">
        <w:rPr>
          <w:rFonts w:ascii="Times New Roman" w:hAnsi="Times New Roman" w:cs="Times New Roman"/>
          <w:sz w:val="26"/>
          <w:szCs w:val="26"/>
        </w:rPr>
        <w:t xml:space="preserve"> уровень обеспеченности населения города Когалыма библиотеками на 10 тыс. населения снизится</w:t>
      </w:r>
      <w:r w:rsidR="00051BE3" w:rsidRPr="006B681B">
        <w:rPr>
          <w:rFonts w:ascii="Times New Roman" w:hAnsi="Times New Roman" w:cs="Times New Roman"/>
          <w:sz w:val="26"/>
          <w:szCs w:val="26"/>
        </w:rPr>
        <w:t xml:space="preserve"> составит 31,5% к нормативу, культурно-досуговыми учреждениями на 1 тыс.</w:t>
      </w:r>
      <w:r w:rsidR="006776A9" w:rsidRPr="006B681B">
        <w:rPr>
          <w:rFonts w:ascii="Times New Roman" w:hAnsi="Times New Roman" w:cs="Times New Roman"/>
          <w:sz w:val="26"/>
          <w:szCs w:val="26"/>
        </w:rPr>
        <w:t xml:space="preserve"> </w:t>
      </w:r>
      <w:r w:rsidRPr="006B681B">
        <w:rPr>
          <w:rFonts w:ascii="Times New Roman" w:hAnsi="Times New Roman" w:cs="Times New Roman"/>
          <w:sz w:val="26"/>
          <w:szCs w:val="26"/>
        </w:rPr>
        <w:t>населения – 72</w:t>
      </w:r>
      <w:r w:rsidR="00051BE3" w:rsidRPr="006B681B">
        <w:rPr>
          <w:rFonts w:ascii="Times New Roman" w:hAnsi="Times New Roman" w:cs="Times New Roman"/>
          <w:sz w:val="26"/>
          <w:szCs w:val="26"/>
        </w:rPr>
        <w:t>% к нормативу, музеями – 50%.</w:t>
      </w:r>
      <w:r w:rsidR="0076585C" w:rsidRPr="006B681B">
        <w:rPr>
          <w:rFonts w:ascii="Times New Roman" w:hAnsi="Times New Roman" w:cs="Times New Roman"/>
          <w:sz w:val="26"/>
          <w:szCs w:val="26"/>
        </w:rPr>
        <w:t xml:space="preserve"> </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С 1 января 2015 муниципальное автономное учреждение «Культурно - досуговый комплекс «Янтарь» и муниципальное бюджетное учреждение «Культурно-методический центр «АРТ - Праздник» реорганизовано путем присоединения </w:t>
      </w:r>
      <w:r w:rsidR="00CF2D68" w:rsidRPr="006B681B">
        <w:rPr>
          <w:rFonts w:ascii="Times New Roman" w:hAnsi="Times New Roman" w:cs="Times New Roman"/>
          <w:sz w:val="26"/>
          <w:szCs w:val="26"/>
        </w:rPr>
        <w:t>к муниципальному</w:t>
      </w:r>
      <w:r w:rsidRPr="006B681B">
        <w:rPr>
          <w:rFonts w:ascii="Times New Roman" w:hAnsi="Times New Roman" w:cs="Times New Roman"/>
          <w:sz w:val="26"/>
          <w:szCs w:val="26"/>
        </w:rPr>
        <w:t xml:space="preserve"> автономному учреждению «Культурно – досуговый комплекс «Метро» (далее – МАУ «КДК «Метро»). Таким образом, </w:t>
      </w:r>
      <w:r w:rsidR="006776A9" w:rsidRPr="006B681B">
        <w:rPr>
          <w:rFonts w:ascii="Times New Roman" w:hAnsi="Times New Roman" w:cs="Times New Roman"/>
          <w:sz w:val="26"/>
          <w:szCs w:val="26"/>
        </w:rPr>
        <w:t>в 2015 году в</w:t>
      </w:r>
      <w:r w:rsidRPr="006B681B">
        <w:rPr>
          <w:rFonts w:ascii="Times New Roman" w:hAnsi="Times New Roman" w:cs="Times New Roman"/>
          <w:sz w:val="26"/>
          <w:szCs w:val="26"/>
        </w:rPr>
        <w:t xml:space="preserve"> город</w:t>
      </w:r>
      <w:r w:rsidR="006776A9" w:rsidRPr="006B681B">
        <w:rPr>
          <w:rFonts w:ascii="Times New Roman" w:hAnsi="Times New Roman" w:cs="Times New Roman"/>
          <w:sz w:val="26"/>
          <w:szCs w:val="26"/>
        </w:rPr>
        <w:t>е</w:t>
      </w:r>
      <w:r w:rsidRPr="006B681B">
        <w:rPr>
          <w:rFonts w:ascii="Times New Roman" w:hAnsi="Times New Roman" w:cs="Times New Roman"/>
          <w:sz w:val="26"/>
          <w:szCs w:val="26"/>
        </w:rPr>
        <w:t xml:space="preserve"> Когалым</w:t>
      </w:r>
      <w:r w:rsidR="006776A9" w:rsidRPr="006B681B">
        <w:rPr>
          <w:rFonts w:ascii="Times New Roman" w:hAnsi="Times New Roman" w:cs="Times New Roman"/>
          <w:sz w:val="26"/>
          <w:szCs w:val="26"/>
        </w:rPr>
        <w:t>е</w:t>
      </w:r>
      <w:r w:rsidRPr="006B681B">
        <w:rPr>
          <w:rFonts w:ascii="Times New Roman" w:hAnsi="Times New Roman" w:cs="Times New Roman"/>
          <w:sz w:val="26"/>
          <w:szCs w:val="26"/>
        </w:rPr>
        <w:t xml:space="preserve"> осуществляет свою деятельность 1 учреждение культуры мощностью 1 370 мест. В прогнозном периоде количество учреждений культуры останется на уровне 2015 года.</w:t>
      </w:r>
    </w:p>
    <w:p w:rsidR="004D07BD" w:rsidRPr="006B681B" w:rsidRDefault="0076585C"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2015 году </w:t>
      </w:r>
      <w:r w:rsidR="004D07BD" w:rsidRPr="006B681B">
        <w:rPr>
          <w:rFonts w:ascii="Times New Roman" w:hAnsi="Times New Roman" w:cs="Times New Roman"/>
          <w:sz w:val="26"/>
          <w:szCs w:val="26"/>
        </w:rPr>
        <w:t>приостановлена деятельность культурно-досугового комплекса «Янтарь» МАУ «КДК «Метро» в связи с проведением реконструкции под размещение Филиала Государственного академического Малого театра России в городе Когалыме.</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Библиотечная система города представлена муниципальным бюджетным учреждением «Централизованная библиотечная система», в состав которого входит Централизованная городская библиотека с двумя филиалами. </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Библиотечный фонд в 2015 году составит 143,8 тыс. единиц, а к 2018 году увеличится до 158,8 тыс. единиц. Книгообеспеченность в 2015 году </w:t>
      </w:r>
      <w:r w:rsidR="00530EEA" w:rsidRPr="006B681B">
        <w:rPr>
          <w:rFonts w:ascii="Times New Roman" w:hAnsi="Times New Roman" w:cs="Times New Roman"/>
          <w:sz w:val="26"/>
          <w:szCs w:val="26"/>
        </w:rPr>
        <w:t xml:space="preserve">увеличится на 4,5% к 2013 году и составит </w:t>
      </w:r>
      <w:r w:rsidRPr="006B681B">
        <w:rPr>
          <w:rFonts w:ascii="Times New Roman" w:hAnsi="Times New Roman" w:cs="Times New Roman"/>
          <w:sz w:val="26"/>
          <w:szCs w:val="26"/>
        </w:rPr>
        <w:t xml:space="preserve">2,3 единиц хранения на 1 </w:t>
      </w:r>
      <w:r w:rsidR="00530EEA" w:rsidRPr="006B681B">
        <w:rPr>
          <w:rFonts w:ascii="Times New Roman" w:hAnsi="Times New Roman" w:cs="Times New Roman"/>
          <w:sz w:val="26"/>
          <w:szCs w:val="26"/>
        </w:rPr>
        <w:t>жителя</w:t>
      </w:r>
      <w:r w:rsidRPr="006B681B">
        <w:rPr>
          <w:rFonts w:ascii="Times New Roman" w:hAnsi="Times New Roman" w:cs="Times New Roman"/>
          <w:sz w:val="26"/>
          <w:szCs w:val="26"/>
        </w:rPr>
        <w:t xml:space="preserve"> или </w:t>
      </w:r>
      <w:r w:rsidR="00530EEA" w:rsidRPr="006B681B">
        <w:rPr>
          <w:rFonts w:ascii="Times New Roman" w:hAnsi="Times New Roman" w:cs="Times New Roman"/>
          <w:sz w:val="26"/>
          <w:szCs w:val="26"/>
        </w:rPr>
        <w:t>37,8% к нормативу (6 единиц хранения на 1 жителя)</w:t>
      </w:r>
      <w:r w:rsidRPr="006B681B">
        <w:rPr>
          <w:rFonts w:ascii="Times New Roman" w:hAnsi="Times New Roman" w:cs="Times New Roman"/>
          <w:sz w:val="26"/>
          <w:szCs w:val="26"/>
        </w:rPr>
        <w:t>.</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Услугами муниципальных библиотек города в 2015 году воспользуются 17,2 тыс. человек.</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Основными задачами на 2015 год и прогнозный период 2015-2018 годов является:</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 организация и проведение основных мероприятий в рамках Года литературы, Года сохранения и развития традиционных промыслов и ремесел, исторического и культурного наследия народов, населяющих Югру; </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повышение доступности услуг для разных социальных категорий населения, в том числе для людей с ограниченными возможностями здоровья, детей и подростков, находящихся в трудной жизненной ситуации посредством проведения культурно-досуговых мероприятий, фестивалей-конкурсов на базе учреждений культуры, обеспечения библиотечного и музейного обслуживания, предоставления льгот, обеспечения доступности объектов культуры для маломобильных слоёв населения;</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исполнение Указов Президента РФ от 07.05.2012 года;</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 достижение показателей эффективности деятельности учреждений культуры посредством внедрения инновационных проектов, стимулирования и повышения квалификационной категории работников культуры. </w:t>
      </w:r>
    </w:p>
    <w:p w:rsidR="00051BE3" w:rsidRPr="006B681B" w:rsidRDefault="00051BE3" w:rsidP="0022054C">
      <w:pPr>
        <w:spacing w:after="0" w:line="240" w:lineRule="auto"/>
        <w:jc w:val="both"/>
        <w:rPr>
          <w:rFonts w:ascii="Times New Roman" w:hAnsi="Times New Roman" w:cs="Times New Roman"/>
          <w:sz w:val="26"/>
          <w:szCs w:val="26"/>
        </w:rPr>
      </w:pPr>
    </w:p>
    <w:p w:rsidR="00051BE3" w:rsidRPr="006B681B" w:rsidRDefault="00051BE3" w:rsidP="0022054C">
      <w:pPr>
        <w:pStyle w:val="1"/>
        <w:spacing w:before="0" w:line="240" w:lineRule="auto"/>
        <w:jc w:val="center"/>
        <w:rPr>
          <w:rFonts w:ascii="Times New Roman" w:hAnsi="Times New Roman" w:cs="Times New Roman"/>
          <w:color w:val="auto"/>
          <w:sz w:val="26"/>
          <w:szCs w:val="26"/>
        </w:rPr>
      </w:pPr>
      <w:bookmarkStart w:id="16" w:name="_Toc435801078"/>
      <w:r w:rsidRPr="006B681B">
        <w:rPr>
          <w:rFonts w:ascii="Times New Roman" w:hAnsi="Times New Roman" w:cs="Times New Roman"/>
          <w:color w:val="auto"/>
          <w:sz w:val="26"/>
          <w:szCs w:val="26"/>
        </w:rPr>
        <w:t>Физическая культура и спорт</w:t>
      </w:r>
      <w:bookmarkEnd w:id="16"/>
    </w:p>
    <w:p w:rsidR="00051BE3" w:rsidRPr="006B681B" w:rsidRDefault="00051BE3" w:rsidP="0022054C">
      <w:pPr>
        <w:spacing w:after="0" w:line="240" w:lineRule="auto"/>
        <w:jc w:val="center"/>
        <w:rPr>
          <w:rFonts w:ascii="Times New Roman" w:hAnsi="Times New Roman" w:cs="Times New Roman"/>
          <w:sz w:val="26"/>
          <w:szCs w:val="26"/>
        </w:rPr>
      </w:pP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области физической культуры и спорта будет уделяться большое внимание качественному улучшению физического состояния населения города и в первую очередь молодого поколения путем вовлечения детей и молодежи в регулярные физкультурно-спортивные занятия, развитию массовой физической культуры и спорта.</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городе Когалыме функционирует 80 спортивных сооружений. Оборудовано 19 физкультурно-спортивных площадок, где жители города Когалыма самостоятельно занимаются такими видами спорта как: волейбол, стритбол, пляжный волейбол, мини-футбол.</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Обеспеченность объектами физической культуры и спорта в городе составляет: спортивными залами – 81,8%, плоскостными сооружениями – 38,0%, бассейнами 10,6%. Пропускная способность спортивных сооружений составляет 19,3% от норматива.</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Всего в городе Когалыме культивируется более 28 видов спорта. Наиболее популярные – плавание, спортивная гимнастика, лыжные гонки, волейбол, баскетбол, мини-футбол, хоккей с шайбой. Удельный вес населения, систематически занимающегося физической культурой и спортом, составляет </w:t>
      </w:r>
      <w:r w:rsidR="002813DC" w:rsidRPr="006B681B">
        <w:rPr>
          <w:rFonts w:ascii="Times New Roman" w:hAnsi="Times New Roman" w:cs="Times New Roman"/>
          <w:sz w:val="26"/>
          <w:szCs w:val="26"/>
        </w:rPr>
        <w:t>25,6</w:t>
      </w:r>
      <w:r w:rsidRPr="006B681B">
        <w:rPr>
          <w:rFonts w:ascii="Times New Roman" w:hAnsi="Times New Roman" w:cs="Times New Roman"/>
          <w:sz w:val="26"/>
          <w:szCs w:val="26"/>
        </w:rPr>
        <w:t xml:space="preserve">%. </w:t>
      </w:r>
    </w:p>
    <w:p w:rsidR="00544629" w:rsidRPr="006B681B" w:rsidRDefault="00544629"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2015 году установлены 7 спортивных площадок для занятий воркаутом, кроме того, обустроены новые спортивные площадки в двух общеобразовательных организациях. </w:t>
      </w:r>
    </w:p>
    <w:p w:rsidR="00544629"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В прогнозном периоде количество спортивных сооружений </w:t>
      </w:r>
      <w:r w:rsidR="00544629" w:rsidRPr="006B681B">
        <w:rPr>
          <w:rFonts w:ascii="Times New Roman" w:hAnsi="Times New Roman" w:cs="Times New Roman"/>
          <w:sz w:val="26"/>
          <w:szCs w:val="26"/>
        </w:rPr>
        <w:t>сохранится на уровне 2015 года.</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Обеспеченность спортивными объектами в прогнозируемый период будет иметь тенденцию к уменьшению, что обусловлено ростом численности населения города, и к 2018 году уровень обеспеченности спортивными сооружениями, физкультурно-спортивными залами и бассейнами снизится до 76%, 35,3%, 9,7% соответственно.</w:t>
      </w:r>
    </w:p>
    <w:p w:rsidR="00051BE3" w:rsidRPr="006B681B" w:rsidRDefault="00051BE3" w:rsidP="0022054C">
      <w:pPr>
        <w:spacing w:after="0" w:line="240" w:lineRule="auto"/>
        <w:ind w:firstLine="709"/>
        <w:jc w:val="both"/>
        <w:rPr>
          <w:rFonts w:ascii="Times New Roman" w:hAnsi="Times New Roman" w:cs="Times New Roman"/>
          <w:sz w:val="26"/>
          <w:szCs w:val="26"/>
        </w:rPr>
      </w:pPr>
    </w:p>
    <w:p w:rsidR="00051BE3" w:rsidRPr="006B681B" w:rsidRDefault="00051BE3" w:rsidP="0022054C">
      <w:pPr>
        <w:pStyle w:val="1"/>
        <w:spacing w:before="0" w:line="240" w:lineRule="auto"/>
        <w:jc w:val="center"/>
        <w:rPr>
          <w:rFonts w:ascii="Times New Roman" w:hAnsi="Times New Roman" w:cs="Times New Roman"/>
          <w:color w:val="auto"/>
          <w:sz w:val="26"/>
          <w:szCs w:val="26"/>
        </w:rPr>
      </w:pPr>
      <w:bookmarkStart w:id="17" w:name="_Toc435801079"/>
      <w:r w:rsidRPr="006B681B">
        <w:rPr>
          <w:rFonts w:ascii="Times New Roman" w:hAnsi="Times New Roman" w:cs="Times New Roman"/>
          <w:color w:val="auto"/>
          <w:sz w:val="26"/>
          <w:szCs w:val="26"/>
        </w:rPr>
        <w:t>Социальная защита населения</w:t>
      </w:r>
      <w:bookmarkEnd w:id="17"/>
    </w:p>
    <w:p w:rsidR="00051BE3" w:rsidRPr="006B681B" w:rsidRDefault="00051BE3" w:rsidP="0022054C">
      <w:pPr>
        <w:spacing w:after="0" w:line="240" w:lineRule="auto"/>
        <w:jc w:val="center"/>
        <w:rPr>
          <w:rFonts w:ascii="Times New Roman" w:hAnsi="Times New Roman" w:cs="Times New Roman"/>
          <w:sz w:val="26"/>
          <w:szCs w:val="26"/>
        </w:rPr>
      </w:pP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Управление социальной защиты населения по городу Когалыму (далее-Управление) осуществляет функции по реализации единой государственной политики и нормативному правовому регулированию, оказанию государственных услуг в сфере социального развития, включая социальную защиту населения (государственную социальную помощь, социальное обслуживание, социальную поддержку отдельных категорий граждан, реабилитацию и социальную интеграцию инвалидов) на территории муниципального образования город Когалым.</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Управление осуществляет свою деятельность непосредственно и через курируемое им бюджетное учреждение Хант</w:t>
      </w:r>
      <w:r w:rsidR="00FA705C" w:rsidRPr="006B681B">
        <w:rPr>
          <w:rFonts w:ascii="Times New Roman" w:hAnsi="Times New Roman" w:cs="Times New Roman"/>
          <w:sz w:val="26"/>
          <w:szCs w:val="26"/>
        </w:rPr>
        <w:t xml:space="preserve">ы–Мансийского автономного округа </w:t>
      </w:r>
      <w:r w:rsidRPr="006B681B">
        <w:rPr>
          <w:rFonts w:ascii="Times New Roman" w:hAnsi="Times New Roman" w:cs="Times New Roman"/>
          <w:sz w:val="26"/>
          <w:szCs w:val="26"/>
        </w:rPr>
        <w:t>– Югры «Комплексный центр социального обслуживания населения «Жемчужина»</w:t>
      </w:r>
      <w:r w:rsidR="003D4144" w:rsidRPr="006B681B">
        <w:rPr>
          <w:rFonts w:ascii="Times New Roman" w:hAnsi="Times New Roman" w:cs="Times New Roman"/>
          <w:sz w:val="26"/>
          <w:szCs w:val="26"/>
        </w:rPr>
        <w:t xml:space="preserve"> (</w:t>
      </w:r>
      <w:r w:rsidR="006E7A2A" w:rsidRPr="006B681B">
        <w:rPr>
          <w:rFonts w:ascii="Times New Roman" w:hAnsi="Times New Roman" w:cs="Times New Roman"/>
          <w:sz w:val="26"/>
          <w:szCs w:val="26"/>
        </w:rPr>
        <w:t xml:space="preserve">далее - </w:t>
      </w:r>
      <w:r w:rsidR="003D4144" w:rsidRPr="006B681B">
        <w:rPr>
          <w:rFonts w:ascii="Times New Roman" w:hAnsi="Times New Roman" w:cs="Times New Roman"/>
          <w:sz w:val="26"/>
          <w:szCs w:val="26"/>
        </w:rPr>
        <w:t>Центр «Жемчужина»</w:t>
      </w:r>
      <w:r w:rsidR="006E7A2A" w:rsidRPr="006B681B">
        <w:rPr>
          <w:rFonts w:ascii="Times New Roman" w:hAnsi="Times New Roman" w:cs="Times New Roman"/>
          <w:sz w:val="26"/>
          <w:szCs w:val="26"/>
        </w:rPr>
        <w:t>, Центр</w:t>
      </w:r>
      <w:r w:rsidR="003D4144" w:rsidRPr="006B681B">
        <w:rPr>
          <w:rFonts w:ascii="Times New Roman" w:hAnsi="Times New Roman" w:cs="Times New Roman"/>
          <w:sz w:val="26"/>
          <w:szCs w:val="26"/>
        </w:rPr>
        <w:t>)</w:t>
      </w:r>
      <w:r w:rsidRPr="006B681B">
        <w:rPr>
          <w:rFonts w:ascii="Times New Roman" w:hAnsi="Times New Roman" w:cs="Times New Roman"/>
          <w:sz w:val="26"/>
          <w:szCs w:val="26"/>
        </w:rPr>
        <w:t>, кроме этого в городе Когалыме действует филиал казенного учреждения Ханты-Мансийского автономного округа – Югры «Центр социальных выплат».</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Численность граждан, состоящих на учете казенного учреждения Ханты-Мансийского автономного округа – Югры «Центр социальных выплат», в 2015 году составит 13,3 тыс. человек и в прогнозном периоде сохранится на уровне 2015 года. </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Деятельность </w:t>
      </w:r>
      <w:r w:rsidR="003D4144" w:rsidRPr="006B681B">
        <w:rPr>
          <w:rFonts w:ascii="Times New Roman" w:hAnsi="Times New Roman" w:cs="Times New Roman"/>
          <w:sz w:val="26"/>
          <w:szCs w:val="26"/>
        </w:rPr>
        <w:t>Центра «Жемчужина»</w:t>
      </w:r>
      <w:r w:rsidRPr="006B681B">
        <w:rPr>
          <w:rFonts w:ascii="Times New Roman" w:hAnsi="Times New Roman" w:cs="Times New Roman"/>
          <w:sz w:val="26"/>
          <w:szCs w:val="26"/>
        </w:rPr>
        <w:t xml:space="preserve"> направлена на решение общих вопросов социальной поддержки граждан пожилого возраста и инвалидов, семей, женщин, детей и осуществление бытового обслуживания льготных категорий населения.</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В Центре</w:t>
      </w:r>
      <w:r w:rsidR="006E7A2A" w:rsidRPr="006B681B">
        <w:rPr>
          <w:rFonts w:ascii="Times New Roman" w:hAnsi="Times New Roman" w:cs="Times New Roman"/>
          <w:sz w:val="26"/>
          <w:szCs w:val="26"/>
        </w:rPr>
        <w:t xml:space="preserve"> «Жемчужина»</w:t>
      </w:r>
      <w:r w:rsidRPr="006B681B">
        <w:rPr>
          <w:rFonts w:ascii="Times New Roman" w:hAnsi="Times New Roman" w:cs="Times New Roman"/>
          <w:sz w:val="26"/>
          <w:szCs w:val="26"/>
        </w:rPr>
        <w:t xml:space="preserve"> функционирует девять отделений:</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отделение социального обслуживания граждан пожилого возраста и инвалидов на дому;</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социально-реабилитационное отделение для граждан пожилого возраста и инвалидов;</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консультативное отделение;</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отделение срочного социального обслуживания;</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отделение реабилитации детей и подростков с ограниченными возможностями;  </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отделение дневного пребывания несовершеннолетних;</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социально-медицинский сектор;</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организационно-методическое отделение;</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отделение психолого-педагогической помощи семье и детям.</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С 01.01.2015 в Центре введено направление работы по социальному обслуживанию – социальное сопровождение граждан, которое предполагает содействие в предоставлении медицинской, психологической, педагогической, правовой, социальной помощи, не относящейся к социальным услугам и основывается на межведомственном взаимодействии организаций, оказывающих такую помощь.</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 xml:space="preserve">Численность граждан, обслуживаемых </w:t>
      </w:r>
      <w:r w:rsidR="003D4144" w:rsidRPr="006B681B">
        <w:rPr>
          <w:rFonts w:ascii="Times New Roman" w:hAnsi="Times New Roman" w:cs="Times New Roman"/>
          <w:sz w:val="26"/>
          <w:szCs w:val="26"/>
        </w:rPr>
        <w:t>в Центе «Жемчужина»</w:t>
      </w:r>
      <w:r w:rsidRPr="006B681B">
        <w:rPr>
          <w:rFonts w:ascii="Times New Roman" w:hAnsi="Times New Roman" w:cs="Times New Roman"/>
          <w:sz w:val="26"/>
          <w:szCs w:val="26"/>
        </w:rPr>
        <w:t xml:space="preserve"> в 2015 году составит 7,4 тыс. человек, в 2016 году численность граждан снизится до 2,2 тыс. человек, что связано с планируемыми изменениями в государственном задании (показатели потребителей, объема и качества услуг) на 2016 год и плановый период 2017-2018 годов.</w:t>
      </w:r>
    </w:p>
    <w:p w:rsidR="00051BE3" w:rsidRPr="006B681B" w:rsidRDefault="00051BE3" w:rsidP="0022054C">
      <w:pPr>
        <w:spacing w:after="0" w:line="240" w:lineRule="auto"/>
        <w:ind w:firstLine="709"/>
        <w:jc w:val="both"/>
        <w:rPr>
          <w:rFonts w:ascii="Times New Roman" w:hAnsi="Times New Roman" w:cs="Times New Roman"/>
          <w:sz w:val="26"/>
          <w:szCs w:val="26"/>
        </w:rPr>
      </w:pPr>
      <w:r w:rsidRPr="006B681B">
        <w:rPr>
          <w:rFonts w:ascii="Times New Roman" w:hAnsi="Times New Roman" w:cs="Times New Roman"/>
          <w:sz w:val="26"/>
          <w:szCs w:val="26"/>
        </w:rPr>
        <w:t>Общая численность граждан, получающих социальную помощь в социальных учреждениях на платной основе в 2014 году составила 262 человека, в 2015 году данный показатель составит 300 человек и в прогнозном периоде сохранит этот уровень.</w:t>
      </w:r>
    </w:p>
    <w:p w:rsidR="00FD6C05" w:rsidRPr="006B681B" w:rsidRDefault="00FD6C05" w:rsidP="0022054C">
      <w:pPr>
        <w:spacing w:after="0" w:line="240" w:lineRule="auto"/>
        <w:ind w:firstLine="709"/>
        <w:jc w:val="center"/>
        <w:rPr>
          <w:rFonts w:ascii="Times New Roman" w:hAnsi="Times New Roman" w:cs="Times New Roman"/>
          <w:b/>
          <w:sz w:val="26"/>
          <w:szCs w:val="26"/>
        </w:rPr>
      </w:pPr>
    </w:p>
    <w:p w:rsidR="00FD6C05" w:rsidRPr="006B681B" w:rsidRDefault="00FD6C05" w:rsidP="0022054C">
      <w:pPr>
        <w:spacing w:after="0" w:line="240" w:lineRule="auto"/>
        <w:ind w:firstLine="720"/>
        <w:jc w:val="both"/>
        <w:rPr>
          <w:rFonts w:ascii="Times New Roman" w:hAnsi="Times New Roman" w:cs="Times New Roman"/>
          <w:sz w:val="26"/>
          <w:szCs w:val="26"/>
        </w:rPr>
      </w:pPr>
    </w:p>
    <w:p w:rsidR="00F05A30" w:rsidRPr="006B681B" w:rsidRDefault="006C1976" w:rsidP="0022054C">
      <w:pPr>
        <w:pStyle w:val="1"/>
        <w:spacing w:before="0" w:line="240" w:lineRule="auto"/>
        <w:jc w:val="center"/>
        <w:rPr>
          <w:rFonts w:ascii="Times New Roman" w:hAnsi="Times New Roman" w:cs="Times New Roman"/>
          <w:b/>
          <w:bCs/>
          <w:color w:val="auto"/>
          <w:sz w:val="26"/>
          <w:szCs w:val="26"/>
        </w:rPr>
      </w:pPr>
      <w:bookmarkStart w:id="18" w:name="_Toc435801080"/>
      <w:r w:rsidRPr="006B681B">
        <w:rPr>
          <w:rFonts w:ascii="Times New Roman" w:hAnsi="Times New Roman" w:cs="Times New Roman"/>
          <w:b/>
          <w:bCs/>
          <w:color w:val="auto"/>
          <w:sz w:val="26"/>
          <w:szCs w:val="26"/>
        </w:rPr>
        <w:t>9</w:t>
      </w:r>
      <w:r w:rsidR="00105015" w:rsidRPr="006B681B">
        <w:rPr>
          <w:rFonts w:ascii="Times New Roman" w:hAnsi="Times New Roman" w:cs="Times New Roman"/>
          <w:b/>
          <w:bCs/>
          <w:color w:val="auto"/>
          <w:sz w:val="26"/>
          <w:szCs w:val="26"/>
        </w:rPr>
        <w:t xml:space="preserve">. </w:t>
      </w:r>
      <w:r w:rsidRPr="006B681B">
        <w:rPr>
          <w:rFonts w:ascii="Times New Roman" w:hAnsi="Times New Roman" w:cs="Times New Roman"/>
          <w:b/>
          <w:bCs/>
          <w:color w:val="auto"/>
          <w:sz w:val="26"/>
          <w:szCs w:val="26"/>
        </w:rPr>
        <w:t>Малое и среднее предпринимательство</w:t>
      </w:r>
      <w:bookmarkEnd w:id="18"/>
    </w:p>
    <w:p w:rsidR="00265D4D" w:rsidRPr="006B681B" w:rsidRDefault="00265D4D" w:rsidP="0022054C">
      <w:pPr>
        <w:spacing w:after="0" w:line="240" w:lineRule="auto"/>
        <w:ind w:firstLine="709"/>
        <w:jc w:val="both"/>
        <w:rPr>
          <w:rFonts w:ascii="Times New Roman" w:hAnsi="Times New Roman" w:cs="Times New Roman"/>
          <w:sz w:val="26"/>
          <w:szCs w:val="26"/>
        </w:rPr>
      </w:pPr>
    </w:p>
    <w:p w:rsidR="00105015" w:rsidRPr="006B681B" w:rsidRDefault="0010501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Развитие малого и среднего бизнеса имеет огромное значение для экономики города. Это - занятость населения, социальная стабильность, формирование среднего класса, а также увеличение налоговых поступлений в бюджет</w:t>
      </w:r>
      <w:r w:rsidR="00961AC1" w:rsidRPr="006B681B">
        <w:rPr>
          <w:rFonts w:ascii="Times New Roman" w:eastAsia="Calibri" w:hAnsi="Times New Roman" w:cs="Times New Roman"/>
          <w:sz w:val="26"/>
          <w:szCs w:val="26"/>
          <w:lang w:eastAsia="ru-RU"/>
        </w:rPr>
        <w:t xml:space="preserve"> города Когалыма</w:t>
      </w:r>
      <w:r w:rsidRPr="006B681B">
        <w:rPr>
          <w:rFonts w:ascii="Times New Roman" w:eastAsia="Calibri" w:hAnsi="Times New Roman" w:cs="Times New Roman"/>
          <w:sz w:val="26"/>
          <w:szCs w:val="26"/>
          <w:lang w:eastAsia="ru-RU"/>
        </w:rPr>
        <w:t>.</w:t>
      </w:r>
    </w:p>
    <w:p w:rsidR="00105015" w:rsidRPr="006B681B" w:rsidRDefault="00105015" w:rsidP="0022054C">
      <w:pPr>
        <w:pStyle w:val="af1"/>
        <w:ind w:firstLine="708"/>
        <w:jc w:val="both"/>
        <w:rPr>
          <w:rFonts w:ascii="Times New Roman" w:eastAsia="Calibri" w:hAnsi="Times New Roman" w:cs="Times New Roman"/>
          <w:sz w:val="26"/>
          <w:szCs w:val="26"/>
        </w:rPr>
      </w:pPr>
      <w:r w:rsidRPr="006B681B">
        <w:rPr>
          <w:rFonts w:ascii="Times New Roman" w:eastAsia="Calibri" w:hAnsi="Times New Roman" w:cs="Times New Roman"/>
          <w:sz w:val="26"/>
          <w:szCs w:val="26"/>
          <w:lang w:eastAsia="ru-RU"/>
        </w:rPr>
        <w:t>В 2014 году количество субъектов малого</w:t>
      </w:r>
      <w:r w:rsidRPr="006B681B">
        <w:rPr>
          <w:rFonts w:ascii="Times New Roman" w:eastAsia="Calibri" w:hAnsi="Times New Roman" w:cs="Times New Roman"/>
          <w:sz w:val="26"/>
          <w:szCs w:val="26"/>
        </w:rPr>
        <w:t xml:space="preserve"> и среднего предпринимательства составило 339 единиц, увеличившись к 2013 году на 23 единицы.</w:t>
      </w:r>
    </w:p>
    <w:p w:rsidR="009127A3" w:rsidRPr="006B681B" w:rsidRDefault="009127A3" w:rsidP="0022054C">
      <w:pPr>
        <w:pStyle w:val="af1"/>
        <w:ind w:firstLine="708"/>
        <w:jc w:val="both"/>
        <w:rPr>
          <w:rFonts w:ascii="Times New Roman" w:eastAsia="Calibri" w:hAnsi="Times New Roman" w:cs="Times New Roman"/>
          <w:sz w:val="26"/>
          <w:szCs w:val="26"/>
        </w:rPr>
      </w:pPr>
    </w:p>
    <w:p w:rsidR="00105015" w:rsidRPr="006B681B" w:rsidRDefault="002C422C" w:rsidP="00961AC1">
      <w:pPr>
        <w:pStyle w:val="af1"/>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inline distT="0" distB="0" distL="0" distR="0">
            <wp:extent cx="6045798"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71E8" w:rsidRPr="006B681B" w:rsidRDefault="005071E8" w:rsidP="0022054C">
      <w:pPr>
        <w:spacing w:after="0" w:line="240" w:lineRule="auto"/>
        <w:ind w:firstLine="708"/>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За прогнозный период число малых и средних предприятий возрастет на 11,5% или до 378 единиц. При этом рост количества субъектов малого и среднего бизнеса планируется по всем видам деятельности.</w:t>
      </w:r>
    </w:p>
    <w:p w:rsidR="00105015" w:rsidRPr="006B681B" w:rsidRDefault="00105015" w:rsidP="0022054C">
      <w:pPr>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Структура малых предприятий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 в ней сосредоточено </w:t>
      </w:r>
      <w:r w:rsidR="00C14B84" w:rsidRPr="006B681B">
        <w:rPr>
          <w:rFonts w:ascii="Times New Roman" w:eastAsia="Calibri" w:hAnsi="Times New Roman" w:cs="Times New Roman"/>
          <w:sz w:val="26"/>
          <w:szCs w:val="26"/>
          <w:lang w:eastAsia="ru-RU"/>
        </w:rPr>
        <w:t>30,4</w:t>
      </w:r>
      <w:r w:rsidRPr="006B681B">
        <w:rPr>
          <w:rFonts w:ascii="Times New Roman" w:eastAsia="Calibri" w:hAnsi="Times New Roman" w:cs="Times New Roman"/>
          <w:sz w:val="26"/>
          <w:szCs w:val="26"/>
          <w:lang w:eastAsia="ru-RU"/>
        </w:rPr>
        <w:t xml:space="preserve">% малых и средних предприятий, </w:t>
      </w:r>
      <w:r w:rsidR="00C14B84" w:rsidRPr="006B681B">
        <w:rPr>
          <w:rFonts w:ascii="Times New Roman" w:eastAsia="Calibri" w:hAnsi="Times New Roman" w:cs="Times New Roman"/>
          <w:sz w:val="26"/>
          <w:szCs w:val="26"/>
          <w:lang w:eastAsia="ru-RU"/>
        </w:rPr>
        <w:t>20,4</w:t>
      </w:r>
      <w:r w:rsidRPr="006B681B">
        <w:rPr>
          <w:rFonts w:ascii="Times New Roman" w:eastAsia="Calibri" w:hAnsi="Times New Roman" w:cs="Times New Roman"/>
          <w:sz w:val="26"/>
          <w:szCs w:val="26"/>
          <w:lang w:eastAsia="ru-RU"/>
        </w:rPr>
        <w:t>% - в сфере операций с недвижимым имуществом,</w:t>
      </w:r>
      <w:r w:rsidR="00053AD2" w:rsidRPr="006B681B">
        <w:rPr>
          <w:rFonts w:ascii="Times New Roman" w:eastAsia="Calibri" w:hAnsi="Times New Roman" w:cs="Times New Roman"/>
          <w:sz w:val="26"/>
          <w:szCs w:val="26"/>
          <w:lang w:eastAsia="ru-RU"/>
        </w:rPr>
        <w:t xml:space="preserve"> </w:t>
      </w:r>
      <w:r w:rsidR="00E15EA1" w:rsidRPr="006B681B">
        <w:rPr>
          <w:rFonts w:ascii="Times New Roman" w:eastAsia="Calibri" w:hAnsi="Times New Roman" w:cs="Times New Roman"/>
          <w:sz w:val="26"/>
          <w:szCs w:val="26"/>
          <w:lang w:eastAsia="ru-RU"/>
        </w:rPr>
        <w:t>18</w:t>
      </w:r>
      <w:r w:rsidR="00C14B84" w:rsidRPr="006B681B">
        <w:rPr>
          <w:rFonts w:ascii="Times New Roman" w:eastAsia="Calibri" w:hAnsi="Times New Roman" w:cs="Times New Roman"/>
          <w:sz w:val="26"/>
          <w:szCs w:val="26"/>
          <w:lang w:eastAsia="ru-RU"/>
        </w:rPr>
        <w:t>% - в строительстве, 11,5</w:t>
      </w:r>
      <w:r w:rsidRPr="006B681B">
        <w:rPr>
          <w:rFonts w:ascii="Times New Roman" w:eastAsia="Calibri" w:hAnsi="Times New Roman" w:cs="Times New Roman"/>
          <w:sz w:val="26"/>
          <w:szCs w:val="26"/>
          <w:lang w:eastAsia="ru-RU"/>
        </w:rPr>
        <w:t xml:space="preserve">% малых и средних предприятий осуществляют деятельность в сфере транспорта и связи, </w:t>
      </w:r>
      <w:r w:rsidR="00053AD2" w:rsidRPr="006B681B">
        <w:rPr>
          <w:rFonts w:ascii="Times New Roman" w:eastAsia="Calibri" w:hAnsi="Times New Roman" w:cs="Times New Roman"/>
          <w:sz w:val="26"/>
          <w:szCs w:val="26"/>
          <w:lang w:eastAsia="ru-RU"/>
        </w:rPr>
        <w:t xml:space="preserve">в обрабатывающем производстве – </w:t>
      </w:r>
      <w:r w:rsidR="00E15EA1" w:rsidRPr="006B681B">
        <w:rPr>
          <w:rFonts w:ascii="Times New Roman" w:eastAsia="Calibri" w:hAnsi="Times New Roman" w:cs="Times New Roman"/>
          <w:sz w:val="26"/>
          <w:szCs w:val="26"/>
          <w:lang w:eastAsia="ru-RU"/>
        </w:rPr>
        <w:t>6,8</w:t>
      </w:r>
      <w:r w:rsidR="00053AD2" w:rsidRPr="006B681B">
        <w:rPr>
          <w:rFonts w:ascii="Times New Roman" w:eastAsia="Calibri" w:hAnsi="Times New Roman" w:cs="Times New Roman"/>
          <w:sz w:val="26"/>
          <w:szCs w:val="26"/>
          <w:lang w:eastAsia="ru-RU"/>
        </w:rPr>
        <w:t xml:space="preserve">%, </w:t>
      </w:r>
      <w:r w:rsidR="00E15EA1" w:rsidRPr="006B681B">
        <w:rPr>
          <w:rFonts w:ascii="Times New Roman" w:eastAsia="Calibri" w:hAnsi="Times New Roman" w:cs="Times New Roman"/>
          <w:sz w:val="26"/>
          <w:szCs w:val="26"/>
          <w:lang w:eastAsia="ru-RU"/>
        </w:rPr>
        <w:t>12,9</w:t>
      </w:r>
      <w:r w:rsidRPr="006B681B">
        <w:rPr>
          <w:rFonts w:ascii="Times New Roman" w:eastAsia="Calibri" w:hAnsi="Times New Roman" w:cs="Times New Roman"/>
          <w:sz w:val="26"/>
          <w:szCs w:val="26"/>
          <w:lang w:eastAsia="ru-RU"/>
        </w:rPr>
        <w:t>% - прочие виды деятельности.</w:t>
      </w:r>
      <w:r w:rsidR="00894015" w:rsidRPr="006B681B">
        <w:rPr>
          <w:rFonts w:ascii="Times New Roman" w:eastAsia="Calibri" w:hAnsi="Times New Roman" w:cs="Times New Roman"/>
          <w:sz w:val="26"/>
          <w:szCs w:val="26"/>
          <w:lang w:eastAsia="ru-RU"/>
        </w:rPr>
        <w:t xml:space="preserve"> </w:t>
      </w:r>
    </w:p>
    <w:p w:rsidR="00105015" w:rsidRPr="006B681B" w:rsidRDefault="00105015" w:rsidP="0022054C">
      <w:pPr>
        <w:spacing w:after="0" w:line="240" w:lineRule="auto"/>
        <w:ind w:firstLine="709"/>
        <w:jc w:val="both"/>
        <w:rPr>
          <w:rFonts w:ascii="Times New Roman" w:eastAsia="Calibri" w:hAnsi="Times New Roman" w:cs="Times New Roman"/>
          <w:sz w:val="26"/>
          <w:szCs w:val="26"/>
          <w:lang w:eastAsia="ru-RU"/>
        </w:rPr>
      </w:pPr>
    </w:p>
    <w:p w:rsidR="00105015" w:rsidRPr="006B681B" w:rsidRDefault="00105015" w:rsidP="006B681B">
      <w:pPr>
        <w:autoSpaceDE w:val="0"/>
        <w:autoSpaceDN w:val="0"/>
        <w:adjustRightInd w:val="0"/>
        <w:spacing w:after="0" w:line="240" w:lineRule="auto"/>
        <w:jc w:val="both"/>
        <w:rPr>
          <w:rFonts w:ascii="Times New Roman" w:eastAsia="Calibri" w:hAnsi="Times New Roman" w:cs="Times New Roman"/>
          <w:sz w:val="26"/>
          <w:szCs w:val="26"/>
          <w:lang w:eastAsia="ru-RU"/>
        </w:rPr>
      </w:pPr>
      <w:r w:rsidRPr="006B681B">
        <w:rPr>
          <w:rFonts w:ascii="Times New Roman" w:eastAsia="Calibri" w:hAnsi="Times New Roman" w:cs="Times New Roman"/>
          <w:noProof/>
          <w:sz w:val="26"/>
          <w:szCs w:val="26"/>
          <w:lang w:eastAsia="ru-RU"/>
        </w:rPr>
        <w:drawing>
          <wp:inline distT="0" distB="0" distL="0" distR="0" wp14:anchorId="76757918" wp14:editId="13B37C9E">
            <wp:extent cx="6219825" cy="28003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1268" w:rsidRPr="006B681B" w:rsidRDefault="0010501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Среднесписочная численность работников малых и средних предприятий в 2014 году составила 5,42 тыс. человек. </w:t>
      </w:r>
    </w:p>
    <w:p w:rsidR="00105015" w:rsidRPr="006B681B" w:rsidRDefault="0010501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В 2015 году численность работников малого и среднего предпринимательства по оценке составит 5,5 тыс. человек, с дальнейшим ростом в среднесрочной перспективе до 6,68 тыс. человек в 2018 году. Для занятости характерна общая отраслевая структура малого и среднего бизнеса. Основная часть работников будет сосредоточена в оптовой и розничной торговле – 23,2%, в сфере операций </w:t>
      </w:r>
      <w:r w:rsidR="001F5824" w:rsidRPr="006B681B">
        <w:rPr>
          <w:rFonts w:ascii="Times New Roman" w:eastAsia="Calibri" w:hAnsi="Times New Roman" w:cs="Times New Roman"/>
          <w:sz w:val="26"/>
          <w:szCs w:val="26"/>
          <w:lang w:eastAsia="ru-RU"/>
        </w:rPr>
        <w:t>с недвижимым имуществом около 13,3</w:t>
      </w:r>
      <w:r w:rsidRPr="006B681B">
        <w:rPr>
          <w:rFonts w:ascii="Times New Roman" w:eastAsia="Calibri" w:hAnsi="Times New Roman" w:cs="Times New Roman"/>
          <w:sz w:val="26"/>
          <w:szCs w:val="26"/>
          <w:lang w:eastAsia="ru-RU"/>
        </w:rPr>
        <w:t xml:space="preserve">%, в строительстве – </w:t>
      </w:r>
      <w:r w:rsidR="001F5824" w:rsidRPr="006B681B">
        <w:rPr>
          <w:rFonts w:ascii="Times New Roman" w:eastAsia="Calibri" w:hAnsi="Times New Roman" w:cs="Times New Roman"/>
          <w:sz w:val="26"/>
          <w:szCs w:val="26"/>
          <w:lang w:eastAsia="ru-RU"/>
        </w:rPr>
        <w:t>21,7</w:t>
      </w:r>
      <w:r w:rsidRPr="006B681B">
        <w:rPr>
          <w:rFonts w:ascii="Times New Roman" w:eastAsia="Calibri" w:hAnsi="Times New Roman" w:cs="Times New Roman"/>
          <w:sz w:val="26"/>
          <w:szCs w:val="26"/>
          <w:lang w:eastAsia="ru-RU"/>
        </w:rPr>
        <w:t>%, в сфере транспорта и связи – 16</w:t>
      </w:r>
      <w:r w:rsidR="001F5824" w:rsidRPr="006B681B">
        <w:rPr>
          <w:rFonts w:ascii="Times New Roman" w:eastAsia="Calibri" w:hAnsi="Times New Roman" w:cs="Times New Roman"/>
          <w:sz w:val="26"/>
          <w:szCs w:val="26"/>
          <w:lang w:eastAsia="ru-RU"/>
        </w:rPr>
        <w:t>,1</w:t>
      </w:r>
      <w:r w:rsidRPr="006B681B">
        <w:rPr>
          <w:rFonts w:ascii="Times New Roman" w:eastAsia="Calibri" w:hAnsi="Times New Roman" w:cs="Times New Roman"/>
          <w:sz w:val="26"/>
          <w:szCs w:val="26"/>
          <w:lang w:eastAsia="ru-RU"/>
        </w:rPr>
        <w:t>%.</w:t>
      </w:r>
    </w:p>
    <w:p w:rsidR="009127A3" w:rsidRPr="006B681B" w:rsidRDefault="009127A3"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105015" w:rsidRPr="006B681B" w:rsidRDefault="00105015" w:rsidP="0022054C">
      <w:pPr>
        <w:autoSpaceDE w:val="0"/>
        <w:autoSpaceDN w:val="0"/>
        <w:adjustRightInd w:val="0"/>
        <w:spacing w:after="0" w:line="240" w:lineRule="auto"/>
        <w:jc w:val="both"/>
        <w:rPr>
          <w:rFonts w:ascii="Times New Roman" w:eastAsia="Calibri" w:hAnsi="Times New Roman" w:cs="Times New Roman"/>
          <w:sz w:val="26"/>
          <w:szCs w:val="26"/>
          <w:lang w:eastAsia="ru-RU"/>
        </w:rPr>
      </w:pPr>
      <w:r w:rsidRPr="006B681B">
        <w:rPr>
          <w:rFonts w:ascii="Times New Roman" w:hAnsi="Times New Roman" w:cs="Times New Roman"/>
          <w:noProof/>
          <w:sz w:val="26"/>
          <w:szCs w:val="26"/>
          <w:lang w:eastAsia="ru-RU"/>
        </w:rPr>
        <w:drawing>
          <wp:inline distT="0" distB="0" distL="0" distR="0" wp14:anchorId="67C06647" wp14:editId="5B20AA6D">
            <wp:extent cx="6361584" cy="3309209"/>
            <wp:effectExtent l="0" t="0" r="1270" b="5715"/>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5015" w:rsidRPr="006B681B" w:rsidRDefault="0010501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В 2014 году оборот малых и средних предприятий составил 6 345,0 млн. рублей или 90,7% к 2013 году в действующих ценах, в том числе:</w:t>
      </w:r>
    </w:p>
    <w:p w:rsidR="00105015" w:rsidRPr="00833FBE" w:rsidRDefault="0010501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1</w:t>
      </w:r>
      <w:r w:rsidRPr="00833FBE">
        <w:rPr>
          <w:rFonts w:ascii="Times New Roman" w:eastAsia="Calibri" w:hAnsi="Times New Roman" w:cs="Times New Roman"/>
          <w:sz w:val="26"/>
          <w:szCs w:val="26"/>
          <w:lang w:eastAsia="ru-RU"/>
        </w:rPr>
        <w:t xml:space="preserve">. По средним предприятиям – 1 907,5 млн. рублей или 74,8% к уровню 2013 года. Снижение оборота средних предприятий обусловлено уменьшением их количества с </w:t>
      </w:r>
      <w:r w:rsidR="00237BA4" w:rsidRPr="00833FBE">
        <w:rPr>
          <w:rFonts w:ascii="Times New Roman" w:eastAsia="Calibri" w:hAnsi="Times New Roman" w:cs="Times New Roman"/>
          <w:sz w:val="26"/>
          <w:szCs w:val="26"/>
          <w:lang w:eastAsia="ru-RU"/>
        </w:rPr>
        <w:t xml:space="preserve">                  </w:t>
      </w:r>
      <w:r w:rsidRPr="00833FBE">
        <w:rPr>
          <w:rFonts w:ascii="Times New Roman" w:eastAsia="Calibri" w:hAnsi="Times New Roman" w:cs="Times New Roman"/>
          <w:sz w:val="26"/>
          <w:szCs w:val="26"/>
          <w:lang w:eastAsia="ru-RU"/>
        </w:rPr>
        <w:t>8 предприятий в 2</w:t>
      </w:r>
      <w:r w:rsidR="00237BA4" w:rsidRPr="00833FBE">
        <w:rPr>
          <w:rFonts w:ascii="Times New Roman" w:eastAsia="Calibri" w:hAnsi="Times New Roman" w:cs="Times New Roman"/>
          <w:sz w:val="26"/>
          <w:szCs w:val="26"/>
          <w:lang w:eastAsia="ru-RU"/>
        </w:rPr>
        <w:t>013 году до 6 – в 2014 году. Несмотря на снижение всего оборота в целом, по некоторым видам деятельности</w:t>
      </w:r>
      <w:r w:rsidRPr="00833FBE">
        <w:rPr>
          <w:rFonts w:ascii="Times New Roman" w:eastAsia="Calibri" w:hAnsi="Times New Roman" w:cs="Times New Roman"/>
          <w:sz w:val="26"/>
          <w:szCs w:val="26"/>
          <w:lang w:eastAsia="ru-RU"/>
        </w:rPr>
        <w:t xml:space="preserve"> наблюдается рост оборота</w:t>
      </w:r>
      <w:r w:rsidR="00237BA4" w:rsidRPr="00833FBE">
        <w:rPr>
          <w:rFonts w:ascii="Times New Roman" w:eastAsia="Calibri" w:hAnsi="Times New Roman" w:cs="Times New Roman"/>
          <w:sz w:val="26"/>
          <w:szCs w:val="26"/>
          <w:lang w:eastAsia="ru-RU"/>
        </w:rPr>
        <w:t>, а именно</w:t>
      </w:r>
      <w:r w:rsidRPr="00833FBE">
        <w:rPr>
          <w:rFonts w:ascii="Times New Roman" w:eastAsia="Calibri" w:hAnsi="Times New Roman" w:cs="Times New Roman"/>
          <w:sz w:val="26"/>
          <w:szCs w:val="26"/>
          <w:lang w:eastAsia="ru-RU"/>
        </w:rPr>
        <w:t>:</w:t>
      </w:r>
    </w:p>
    <w:p w:rsidR="00105015" w:rsidRPr="00833FBE" w:rsidRDefault="0010501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33FBE">
        <w:rPr>
          <w:rFonts w:ascii="Times New Roman" w:eastAsia="Calibri" w:hAnsi="Times New Roman" w:cs="Times New Roman"/>
          <w:sz w:val="26"/>
          <w:szCs w:val="26"/>
          <w:lang w:eastAsia="ru-RU"/>
        </w:rPr>
        <w:t>- обрабатывающие производства – 132,3%;</w:t>
      </w:r>
    </w:p>
    <w:p w:rsidR="00105015" w:rsidRPr="00833FBE" w:rsidRDefault="0010501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33FBE">
        <w:rPr>
          <w:rFonts w:ascii="Times New Roman" w:eastAsia="Calibri" w:hAnsi="Times New Roman" w:cs="Times New Roman"/>
          <w:sz w:val="26"/>
          <w:szCs w:val="26"/>
          <w:lang w:eastAsia="ru-RU"/>
        </w:rPr>
        <w:t>- строительство – 101,8%;</w:t>
      </w:r>
    </w:p>
    <w:p w:rsidR="00105015" w:rsidRPr="00833FBE" w:rsidRDefault="0010501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33FBE">
        <w:rPr>
          <w:rFonts w:ascii="Times New Roman" w:eastAsia="Calibri" w:hAnsi="Times New Roman" w:cs="Times New Roman"/>
          <w:sz w:val="26"/>
          <w:szCs w:val="26"/>
          <w:lang w:eastAsia="ru-RU"/>
        </w:rPr>
        <w:t>- оптовая и розничная торговля, ремонт автотранспортных средств, мотоциклов, бытовых изделий и предметов личного пользования – 160,5%;</w:t>
      </w:r>
    </w:p>
    <w:p w:rsidR="00105015" w:rsidRPr="00833FBE" w:rsidRDefault="0010501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33FBE">
        <w:rPr>
          <w:rFonts w:ascii="Times New Roman" w:eastAsia="Calibri" w:hAnsi="Times New Roman" w:cs="Times New Roman"/>
          <w:sz w:val="26"/>
          <w:szCs w:val="26"/>
          <w:lang w:eastAsia="ru-RU"/>
        </w:rPr>
        <w:t>- транспорт и связь – 103,7%.</w:t>
      </w:r>
    </w:p>
    <w:p w:rsidR="00237BA4" w:rsidRPr="00833FBE" w:rsidRDefault="00237BA4"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33FBE">
        <w:rPr>
          <w:rFonts w:ascii="Times New Roman" w:eastAsia="Calibri" w:hAnsi="Times New Roman" w:cs="Times New Roman"/>
          <w:sz w:val="26"/>
          <w:szCs w:val="26"/>
          <w:lang w:eastAsia="ru-RU"/>
        </w:rPr>
        <w:t>По другим видам напротив, деятельность прекращена (операции с недвижимым имуществом, аренда и предоставление услуг).</w:t>
      </w:r>
    </w:p>
    <w:p w:rsidR="00105015" w:rsidRPr="006B681B" w:rsidRDefault="0010501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2. По малым предприятия, включая микропредприятия – 4 437,5 млн. рублей или 99,8% к уровню 2013 года. Снижение оборота по данным предприятия наблюдается в отраслях:</w:t>
      </w:r>
    </w:p>
    <w:p w:rsidR="00105015" w:rsidRPr="006B681B" w:rsidRDefault="0010501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строительство – 99% к 2013 году;</w:t>
      </w:r>
    </w:p>
    <w:p w:rsidR="00105015" w:rsidRPr="006B681B" w:rsidRDefault="0010501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оптовая и розничная торговля, ремонт автотранспортных средств, мотоциклов, бытовых изделий и предметов личного пользования – 97% к 2013 году.</w:t>
      </w:r>
    </w:p>
    <w:p w:rsidR="005239C0" w:rsidRPr="006B681B" w:rsidRDefault="005239C0"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105015" w:rsidRPr="006B681B" w:rsidRDefault="00105015" w:rsidP="0022054C">
      <w:pPr>
        <w:autoSpaceDE w:val="0"/>
        <w:autoSpaceDN w:val="0"/>
        <w:adjustRightInd w:val="0"/>
        <w:spacing w:after="0" w:line="240" w:lineRule="auto"/>
        <w:jc w:val="both"/>
        <w:rPr>
          <w:rFonts w:ascii="Times New Roman" w:eastAsia="Calibri" w:hAnsi="Times New Roman" w:cs="Times New Roman"/>
          <w:sz w:val="26"/>
          <w:szCs w:val="26"/>
          <w:lang w:eastAsia="ru-RU"/>
        </w:rPr>
      </w:pPr>
      <w:r w:rsidRPr="006B681B">
        <w:rPr>
          <w:rFonts w:ascii="Times New Roman" w:hAnsi="Times New Roman" w:cs="Times New Roman"/>
          <w:noProof/>
          <w:sz w:val="26"/>
          <w:szCs w:val="26"/>
          <w:lang w:eastAsia="ru-RU"/>
        </w:rPr>
        <w:drawing>
          <wp:inline distT="0" distB="0" distL="0" distR="0" wp14:anchorId="0F370260" wp14:editId="4C62CA22">
            <wp:extent cx="6409427" cy="2689225"/>
            <wp:effectExtent l="0" t="0" r="0" b="0"/>
            <wp:docPr id="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5015" w:rsidRPr="006B681B" w:rsidRDefault="0010501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Наибольший удельный вес в общем объеме произведенной малыми и средними предприятиями продукции в 2014 году приходился на предприятия, осуществляющие деятельность в сфере оптовой и розничной торговли – 40,3%, в строительной сфере – 23,2%, в сфере транспорта и связи – 16,9%,</w:t>
      </w:r>
    </w:p>
    <w:p w:rsidR="00105015" w:rsidRPr="006B681B" w:rsidRDefault="00105015"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Оборот малых и средних предприятий в 2015 году ожидается в объеме 6 596,0 млн. рублей, увеличившись на 4% к уровню 2014 года в действующих ценах. </w:t>
      </w:r>
    </w:p>
    <w:p w:rsidR="009570A9" w:rsidRPr="006B681B" w:rsidRDefault="009570A9"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В целях создания благоприятных условий для развития малого и среднего предпринимательства на территории города Когалыма реализуются мероприятия подпрограммы «Развитие малого и среднего предпринимательства в городе Когалыме на 2014-2017 годы» (в рамках муниципальной программы «Социально-экономическое развитие и инвестиции муниципального образования город Когалым на 2014-2017 годы») (далее – подпрограмма РМСП).</w:t>
      </w:r>
    </w:p>
    <w:p w:rsidR="009570A9" w:rsidRPr="006B681B" w:rsidRDefault="009570A9"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В рамках подпрограммы РМСП Администрацией города Когалыма оказывается финансовая, имущественная, информационная, образовательная и консультационная поддержка. </w:t>
      </w:r>
    </w:p>
    <w:p w:rsidR="009570A9" w:rsidRPr="006B681B" w:rsidRDefault="009570A9"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Всего в 2015 году на развитие малого и среднего предпринимательства выделено </w:t>
      </w:r>
      <w:r w:rsidR="004B7C72" w:rsidRPr="006B681B">
        <w:rPr>
          <w:rFonts w:ascii="Times New Roman" w:eastAsia="Calibri" w:hAnsi="Times New Roman" w:cs="Times New Roman"/>
          <w:sz w:val="26"/>
          <w:szCs w:val="26"/>
          <w:lang w:eastAsia="ru-RU"/>
        </w:rPr>
        <w:t>7 759,2</w:t>
      </w:r>
      <w:r w:rsidRPr="006B681B">
        <w:rPr>
          <w:rFonts w:ascii="Times New Roman" w:eastAsia="Calibri" w:hAnsi="Times New Roman" w:cs="Times New Roman"/>
          <w:sz w:val="26"/>
          <w:szCs w:val="26"/>
          <w:lang w:eastAsia="ru-RU"/>
        </w:rPr>
        <w:t xml:space="preserve"> тыс. рублей, из них:</w:t>
      </w:r>
    </w:p>
    <w:p w:rsidR="009570A9" w:rsidRPr="006B681B" w:rsidRDefault="009570A9"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 </w:t>
      </w:r>
      <w:r w:rsidR="004B7C72" w:rsidRPr="006B681B">
        <w:rPr>
          <w:rFonts w:ascii="Times New Roman" w:eastAsia="Calibri" w:hAnsi="Times New Roman" w:cs="Times New Roman"/>
          <w:sz w:val="26"/>
          <w:szCs w:val="26"/>
          <w:lang w:eastAsia="ru-RU"/>
        </w:rPr>
        <w:t>2 992,8</w:t>
      </w:r>
      <w:r w:rsidRPr="006B681B">
        <w:rPr>
          <w:rFonts w:ascii="Times New Roman" w:eastAsia="Calibri" w:hAnsi="Times New Roman" w:cs="Times New Roman"/>
          <w:sz w:val="26"/>
          <w:szCs w:val="26"/>
          <w:lang w:eastAsia="ru-RU"/>
        </w:rPr>
        <w:t xml:space="preserve"> тыс. рублей – средства бюджета Ханты–Мансийского автономного округа - Югры;</w:t>
      </w:r>
    </w:p>
    <w:p w:rsidR="009570A9" w:rsidRPr="006B681B" w:rsidRDefault="009570A9"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 xml:space="preserve">- </w:t>
      </w:r>
      <w:r w:rsidR="004B7C72" w:rsidRPr="006B681B">
        <w:rPr>
          <w:rFonts w:ascii="Times New Roman" w:eastAsia="Calibri" w:hAnsi="Times New Roman" w:cs="Times New Roman"/>
          <w:sz w:val="26"/>
          <w:szCs w:val="26"/>
          <w:lang w:eastAsia="ru-RU"/>
        </w:rPr>
        <w:t>4 766,4</w:t>
      </w:r>
      <w:r w:rsidRPr="006B681B">
        <w:rPr>
          <w:rFonts w:ascii="Times New Roman" w:eastAsia="Calibri" w:hAnsi="Times New Roman" w:cs="Times New Roman"/>
          <w:sz w:val="26"/>
          <w:szCs w:val="26"/>
          <w:lang w:eastAsia="ru-RU"/>
        </w:rPr>
        <w:t xml:space="preserve"> тыс. руб. – средства бюджета города Когалыма.</w:t>
      </w:r>
    </w:p>
    <w:p w:rsidR="00105015" w:rsidRPr="006B681B" w:rsidRDefault="00105015" w:rsidP="0022054C">
      <w:pPr>
        <w:pStyle w:val="af1"/>
        <w:ind w:firstLine="708"/>
        <w:jc w:val="both"/>
        <w:rPr>
          <w:rFonts w:ascii="Times New Roman" w:hAnsi="Times New Roman" w:cs="Times New Roman"/>
          <w:sz w:val="26"/>
          <w:szCs w:val="26"/>
        </w:rPr>
      </w:pPr>
      <w:r w:rsidRPr="006B681B">
        <w:rPr>
          <w:rFonts w:ascii="Times New Roman" w:hAnsi="Times New Roman" w:cs="Times New Roman"/>
          <w:sz w:val="26"/>
          <w:szCs w:val="26"/>
        </w:rPr>
        <w:t>Создание благоприятных условий для поддержки и развития малого и среднего предпринимательства, а также оказание услуг субъектам малого и среднего предпринимательства, предоставление консультационной и иной поддержки осуществляют организации, образующие инфраструктуру поддержки субъектов малого и среднего предпринимательства, такие как:</w:t>
      </w:r>
    </w:p>
    <w:p w:rsidR="00105015" w:rsidRPr="006B681B" w:rsidRDefault="00105015" w:rsidP="0022054C">
      <w:pPr>
        <w:numPr>
          <w:ilvl w:val="0"/>
          <w:numId w:val="1"/>
        </w:numPr>
        <w:spacing w:after="0" w:line="240" w:lineRule="auto"/>
        <w:ind w:left="0"/>
        <w:jc w:val="both"/>
        <w:rPr>
          <w:rFonts w:ascii="Times New Roman" w:hAnsi="Times New Roman" w:cs="Times New Roman"/>
          <w:sz w:val="26"/>
          <w:szCs w:val="26"/>
        </w:rPr>
      </w:pPr>
      <w:r w:rsidRPr="006B681B">
        <w:rPr>
          <w:rFonts w:ascii="Times New Roman" w:hAnsi="Times New Roman" w:cs="Times New Roman"/>
          <w:sz w:val="26"/>
          <w:szCs w:val="26"/>
        </w:rPr>
        <w:t>Представительство Сургутского филиала Фонда поддержки предпринимательства Югры в городе Когалыме;</w:t>
      </w:r>
    </w:p>
    <w:p w:rsidR="00105015" w:rsidRPr="006B681B" w:rsidRDefault="00105015" w:rsidP="0022054C">
      <w:pPr>
        <w:numPr>
          <w:ilvl w:val="0"/>
          <w:numId w:val="1"/>
        </w:numPr>
        <w:spacing w:after="0" w:line="240" w:lineRule="auto"/>
        <w:ind w:left="0"/>
        <w:jc w:val="both"/>
        <w:rPr>
          <w:rFonts w:ascii="Times New Roman" w:hAnsi="Times New Roman" w:cs="Times New Roman"/>
          <w:sz w:val="26"/>
          <w:szCs w:val="26"/>
        </w:rPr>
      </w:pPr>
      <w:r w:rsidRPr="006B681B">
        <w:rPr>
          <w:rFonts w:ascii="Times New Roman" w:hAnsi="Times New Roman" w:cs="Times New Roman"/>
          <w:sz w:val="26"/>
          <w:szCs w:val="26"/>
        </w:rPr>
        <w:t>Фонд микрофинансирования Югры в городе Когалыме;</w:t>
      </w:r>
    </w:p>
    <w:p w:rsidR="00105015" w:rsidRPr="006B681B" w:rsidRDefault="00105015" w:rsidP="0022054C">
      <w:pPr>
        <w:pStyle w:val="af1"/>
        <w:ind w:firstLine="539"/>
        <w:jc w:val="both"/>
        <w:rPr>
          <w:rFonts w:ascii="Times New Roman" w:hAnsi="Times New Roman" w:cs="Times New Roman"/>
          <w:sz w:val="26"/>
          <w:szCs w:val="26"/>
        </w:rPr>
      </w:pPr>
      <w:r w:rsidRPr="006B681B">
        <w:rPr>
          <w:rFonts w:ascii="Times New Roman" w:hAnsi="Times New Roman" w:cs="Times New Roman"/>
          <w:sz w:val="26"/>
          <w:szCs w:val="26"/>
        </w:rPr>
        <w:t xml:space="preserve">Активно работает Координационный совет по развитию малого и среднего предпринимательства в городе Когалыме. </w:t>
      </w:r>
    </w:p>
    <w:p w:rsidR="009570A9" w:rsidRPr="00833FBE" w:rsidRDefault="009570A9"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33FBE">
        <w:rPr>
          <w:rFonts w:ascii="Times New Roman" w:eastAsia="Calibri" w:hAnsi="Times New Roman" w:cs="Times New Roman"/>
          <w:sz w:val="26"/>
          <w:szCs w:val="26"/>
          <w:lang w:eastAsia="ru-RU"/>
        </w:rPr>
        <w:t>Таки</w:t>
      </w:r>
      <w:r w:rsidR="00C14B84" w:rsidRPr="00833FBE">
        <w:rPr>
          <w:rFonts w:ascii="Times New Roman" w:eastAsia="Calibri" w:hAnsi="Times New Roman" w:cs="Times New Roman"/>
          <w:sz w:val="26"/>
          <w:szCs w:val="26"/>
          <w:lang w:eastAsia="ru-RU"/>
        </w:rPr>
        <w:t xml:space="preserve">м образом, благодаря </w:t>
      </w:r>
      <w:r w:rsidRPr="00833FBE">
        <w:rPr>
          <w:rFonts w:ascii="Times New Roman" w:eastAsia="Calibri" w:hAnsi="Times New Roman" w:cs="Times New Roman"/>
          <w:sz w:val="26"/>
          <w:szCs w:val="26"/>
          <w:lang w:eastAsia="ru-RU"/>
        </w:rPr>
        <w:t>реализуемым механизмам поддержки предпринимательства</w:t>
      </w:r>
      <w:r w:rsidR="00C14B84" w:rsidRPr="00833FBE">
        <w:rPr>
          <w:rFonts w:ascii="Times New Roman" w:eastAsia="Calibri" w:hAnsi="Times New Roman" w:cs="Times New Roman"/>
          <w:sz w:val="26"/>
          <w:szCs w:val="26"/>
          <w:lang w:eastAsia="ru-RU"/>
        </w:rPr>
        <w:t>,</w:t>
      </w:r>
      <w:r w:rsidRPr="00833FBE">
        <w:rPr>
          <w:rFonts w:ascii="Times New Roman" w:eastAsia="Calibri" w:hAnsi="Times New Roman" w:cs="Times New Roman"/>
          <w:sz w:val="26"/>
          <w:szCs w:val="26"/>
          <w:lang w:eastAsia="ru-RU"/>
        </w:rPr>
        <w:t xml:space="preserve"> число субъектов малого и среднего предпринимательства достигнет к 2018 году </w:t>
      </w:r>
      <w:r w:rsidR="00413BF2" w:rsidRPr="00833FBE">
        <w:rPr>
          <w:rFonts w:ascii="Times New Roman" w:eastAsia="Calibri" w:hAnsi="Times New Roman" w:cs="Times New Roman"/>
          <w:sz w:val="26"/>
          <w:szCs w:val="26"/>
          <w:lang w:eastAsia="ru-RU"/>
        </w:rPr>
        <w:t>1 953</w:t>
      </w:r>
      <w:r w:rsidRPr="00833FBE">
        <w:rPr>
          <w:rFonts w:ascii="Times New Roman" w:eastAsia="Calibri" w:hAnsi="Times New Roman" w:cs="Times New Roman"/>
          <w:sz w:val="26"/>
          <w:szCs w:val="26"/>
          <w:lang w:eastAsia="ru-RU"/>
        </w:rPr>
        <w:t xml:space="preserve"> единиц</w:t>
      </w:r>
      <w:r w:rsidR="00C14B84" w:rsidRPr="00833FBE">
        <w:rPr>
          <w:rFonts w:ascii="Times New Roman" w:eastAsia="Calibri" w:hAnsi="Times New Roman" w:cs="Times New Roman"/>
          <w:sz w:val="26"/>
          <w:szCs w:val="26"/>
          <w:lang w:eastAsia="ru-RU"/>
        </w:rPr>
        <w:t>ы</w:t>
      </w:r>
      <w:r w:rsidRPr="00833FBE">
        <w:rPr>
          <w:rFonts w:ascii="Times New Roman" w:eastAsia="Calibri" w:hAnsi="Times New Roman" w:cs="Times New Roman"/>
          <w:sz w:val="26"/>
          <w:szCs w:val="26"/>
          <w:lang w:eastAsia="ru-RU"/>
        </w:rPr>
        <w:t xml:space="preserve"> с учетом индивидуальных предпринимателей.</w:t>
      </w:r>
    </w:p>
    <w:p w:rsidR="009570A9" w:rsidRPr="006B681B" w:rsidRDefault="009570A9"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33FBE">
        <w:rPr>
          <w:rFonts w:ascii="Times New Roman" w:eastAsia="Calibri" w:hAnsi="Times New Roman" w:cs="Times New Roman"/>
          <w:sz w:val="26"/>
          <w:szCs w:val="26"/>
          <w:lang w:eastAsia="ru-RU"/>
        </w:rPr>
        <w:t xml:space="preserve">В среднесрочной перспективе с учетом роста потребительского спроса, увеличения количества субъектов малого </w:t>
      </w:r>
      <w:r w:rsidRPr="006B681B">
        <w:rPr>
          <w:rFonts w:ascii="Times New Roman" w:eastAsia="Calibri" w:hAnsi="Times New Roman" w:cs="Times New Roman"/>
          <w:sz w:val="26"/>
          <w:szCs w:val="26"/>
          <w:lang w:eastAsia="ru-RU"/>
        </w:rPr>
        <w:t xml:space="preserve">и среднего предпринимательства и </w:t>
      </w:r>
      <w:r w:rsidR="00644664" w:rsidRPr="006B681B">
        <w:rPr>
          <w:rFonts w:ascii="Times New Roman" w:eastAsia="Calibri" w:hAnsi="Times New Roman" w:cs="Times New Roman"/>
          <w:sz w:val="26"/>
          <w:szCs w:val="26"/>
          <w:lang w:eastAsia="ru-RU"/>
        </w:rPr>
        <w:t xml:space="preserve">принимаемых мер поддержки </w:t>
      </w:r>
      <w:r w:rsidRPr="006B681B">
        <w:rPr>
          <w:rFonts w:ascii="Times New Roman" w:eastAsia="Calibri" w:hAnsi="Times New Roman" w:cs="Times New Roman"/>
          <w:sz w:val="26"/>
          <w:szCs w:val="26"/>
          <w:lang w:eastAsia="ru-RU"/>
        </w:rPr>
        <w:t>ежегодный рост о</w:t>
      </w:r>
      <w:r w:rsidR="00375F35" w:rsidRPr="006B681B">
        <w:rPr>
          <w:rFonts w:ascii="Times New Roman" w:eastAsia="Calibri" w:hAnsi="Times New Roman" w:cs="Times New Roman"/>
          <w:sz w:val="26"/>
          <w:szCs w:val="26"/>
          <w:lang w:eastAsia="ru-RU"/>
        </w:rPr>
        <w:t xml:space="preserve">борота планируется в среднем на </w:t>
      </w:r>
      <w:r w:rsidRPr="006B681B">
        <w:rPr>
          <w:rFonts w:ascii="Times New Roman" w:eastAsia="Calibri" w:hAnsi="Times New Roman" w:cs="Times New Roman"/>
          <w:sz w:val="26"/>
          <w:szCs w:val="26"/>
          <w:lang w:eastAsia="ru-RU"/>
        </w:rPr>
        <w:t>10-13%. Положительная динамика ожидается по всем направлениям деятельности.</w:t>
      </w:r>
      <w:r w:rsidRPr="006B681B">
        <w:rPr>
          <w:rFonts w:ascii="Times New Roman" w:hAnsi="Times New Roman" w:cs="Times New Roman"/>
        </w:rPr>
        <w:t xml:space="preserve">  </w:t>
      </w:r>
    </w:p>
    <w:p w:rsidR="009570A9" w:rsidRPr="006B681B" w:rsidRDefault="009570A9" w:rsidP="0022054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B681B">
        <w:rPr>
          <w:rFonts w:ascii="Times New Roman" w:eastAsia="Calibri" w:hAnsi="Times New Roman" w:cs="Times New Roman"/>
          <w:sz w:val="26"/>
          <w:szCs w:val="26"/>
          <w:lang w:eastAsia="ru-RU"/>
        </w:rPr>
        <w:t>В прогнозном периоде будет продолжена реализация мероприятий в сфере малого и среднего бизнеса, направленных на стимулирование предпринимательской деятельности, улучшение предпринимательского климата, сокращение административных ограничений.</w:t>
      </w:r>
    </w:p>
    <w:p w:rsidR="00105015" w:rsidRPr="006B681B" w:rsidRDefault="00105015" w:rsidP="0022054C">
      <w:pPr>
        <w:pStyle w:val="af1"/>
        <w:ind w:firstLine="539"/>
        <w:jc w:val="both"/>
        <w:rPr>
          <w:rFonts w:ascii="Times New Roman" w:hAnsi="Times New Roman" w:cs="Times New Roman"/>
          <w:sz w:val="26"/>
          <w:szCs w:val="26"/>
        </w:rPr>
      </w:pPr>
      <w:r w:rsidRPr="006B681B">
        <w:rPr>
          <w:rFonts w:ascii="Times New Roman" w:hAnsi="Times New Roman" w:cs="Times New Roman"/>
          <w:sz w:val="26"/>
          <w:szCs w:val="26"/>
        </w:rPr>
        <w:t>В целом устойчивое развитие малого и среднего предпринимательства в прогнозируемом периоде, по-прежнему, будет обеспечивать экономическую и социальную стабильность в городе.</w:t>
      </w:r>
    </w:p>
    <w:p w:rsidR="006E41A9" w:rsidRPr="006B681B" w:rsidRDefault="006E41A9" w:rsidP="0022054C">
      <w:pPr>
        <w:pStyle w:val="af1"/>
        <w:ind w:firstLine="539"/>
        <w:jc w:val="both"/>
        <w:rPr>
          <w:rFonts w:ascii="Times New Roman" w:hAnsi="Times New Roman" w:cs="Times New Roman"/>
          <w:sz w:val="26"/>
          <w:szCs w:val="26"/>
        </w:rPr>
      </w:pPr>
    </w:p>
    <w:sectPr w:rsidR="006E41A9" w:rsidRPr="006B681B" w:rsidSect="009B77F7">
      <w:pgSz w:w="11906" w:h="16838"/>
      <w:pgMar w:top="1134" w:right="567"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BB3" w:rsidRDefault="00752BB3">
      <w:r>
        <w:separator/>
      </w:r>
    </w:p>
  </w:endnote>
  <w:endnote w:type="continuationSeparator" w:id="0">
    <w:p w:rsidR="00752BB3" w:rsidRDefault="0075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955178"/>
      <w:docPartObj>
        <w:docPartGallery w:val="Page Numbers (Bottom of Page)"/>
        <w:docPartUnique/>
      </w:docPartObj>
    </w:sdtPr>
    <w:sdtEndPr/>
    <w:sdtContent>
      <w:p w:rsidR="00155C57" w:rsidRDefault="00155C57">
        <w:pPr>
          <w:pStyle w:val="aa"/>
          <w:jc w:val="center"/>
        </w:pPr>
        <w:r>
          <w:fldChar w:fldCharType="begin"/>
        </w:r>
        <w:r>
          <w:instrText>PAGE   \* MERGEFORMAT</w:instrText>
        </w:r>
        <w:r>
          <w:fldChar w:fldCharType="separate"/>
        </w:r>
        <w:r w:rsidR="00E368C4">
          <w:rPr>
            <w:noProof/>
          </w:rPr>
          <w:t>3</w:t>
        </w:r>
        <w:r>
          <w:fldChar w:fldCharType="end"/>
        </w:r>
      </w:p>
    </w:sdtContent>
  </w:sdt>
  <w:p w:rsidR="00155C57" w:rsidRDefault="00155C57" w:rsidP="00D81AB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BB3" w:rsidRDefault="00752BB3">
      <w:r>
        <w:separator/>
      </w:r>
    </w:p>
  </w:footnote>
  <w:footnote w:type="continuationSeparator" w:id="0">
    <w:p w:rsidR="00752BB3" w:rsidRDefault="00752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507D"/>
    <w:multiLevelType w:val="hybridMultilevel"/>
    <w:tmpl w:val="66EE356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720212"/>
    <w:multiLevelType w:val="hybridMultilevel"/>
    <w:tmpl w:val="1C067D2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D940B0"/>
    <w:multiLevelType w:val="hybridMultilevel"/>
    <w:tmpl w:val="8CA2B000"/>
    <w:lvl w:ilvl="0" w:tplc="D8024380">
      <w:start w:val="1"/>
      <w:numFmt w:val="bullet"/>
      <w:lvlText w:val="•"/>
      <w:lvlJc w:val="left"/>
      <w:pPr>
        <w:tabs>
          <w:tab w:val="num" w:pos="720"/>
        </w:tabs>
        <w:ind w:left="720" w:hanging="360"/>
      </w:pPr>
      <w:rPr>
        <w:rFonts w:ascii="Times New Roman" w:hAnsi="Times New Roman" w:hint="default"/>
      </w:rPr>
    </w:lvl>
    <w:lvl w:ilvl="1" w:tplc="0FCC4598" w:tentative="1">
      <w:start w:val="1"/>
      <w:numFmt w:val="bullet"/>
      <w:lvlText w:val="•"/>
      <w:lvlJc w:val="left"/>
      <w:pPr>
        <w:tabs>
          <w:tab w:val="num" w:pos="1440"/>
        </w:tabs>
        <w:ind w:left="1440" w:hanging="360"/>
      </w:pPr>
      <w:rPr>
        <w:rFonts w:ascii="Times New Roman" w:hAnsi="Times New Roman" w:hint="default"/>
      </w:rPr>
    </w:lvl>
    <w:lvl w:ilvl="2" w:tplc="60FE8896" w:tentative="1">
      <w:start w:val="1"/>
      <w:numFmt w:val="bullet"/>
      <w:lvlText w:val="•"/>
      <w:lvlJc w:val="left"/>
      <w:pPr>
        <w:tabs>
          <w:tab w:val="num" w:pos="2160"/>
        </w:tabs>
        <w:ind w:left="2160" w:hanging="360"/>
      </w:pPr>
      <w:rPr>
        <w:rFonts w:ascii="Times New Roman" w:hAnsi="Times New Roman" w:hint="default"/>
      </w:rPr>
    </w:lvl>
    <w:lvl w:ilvl="3" w:tplc="859C2504" w:tentative="1">
      <w:start w:val="1"/>
      <w:numFmt w:val="bullet"/>
      <w:lvlText w:val="•"/>
      <w:lvlJc w:val="left"/>
      <w:pPr>
        <w:tabs>
          <w:tab w:val="num" w:pos="2880"/>
        </w:tabs>
        <w:ind w:left="2880" w:hanging="360"/>
      </w:pPr>
      <w:rPr>
        <w:rFonts w:ascii="Times New Roman" w:hAnsi="Times New Roman" w:hint="default"/>
      </w:rPr>
    </w:lvl>
    <w:lvl w:ilvl="4" w:tplc="892A81FA" w:tentative="1">
      <w:start w:val="1"/>
      <w:numFmt w:val="bullet"/>
      <w:lvlText w:val="•"/>
      <w:lvlJc w:val="left"/>
      <w:pPr>
        <w:tabs>
          <w:tab w:val="num" w:pos="3600"/>
        </w:tabs>
        <w:ind w:left="3600" w:hanging="360"/>
      </w:pPr>
      <w:rPr>
        <w:rFonts w:ascii="Times New Roman" w:hAnsi="Times New Roman" w:hint="default"/>
      </w:rPr>
    </w:lvl>
    <w:lvl w:ilvl="5" w:tplc="CCC09784" w:tentative="1">
      <w:start w:val="1"/>
      <w:numFmt w:val="bullet"/>
      <w:lvlText w:val="•"/>
      <w:lvlJc w:val="left"/>
      <w:pPr>
        <w:tabs>
          <w:tab w:val="num" w:pos="4320"/>
        </w:tabs>
        <w:ind w:left="4320" w:hanging="360"/>
      </w:pPr>
      <w:rPr>
        <w:rFonts w:ascii="Times New Roman" w:hAnsi="Times New Roman" w:hint="default"/>
      </w:rPr>
    </w:lvl>
    <w:lvl w:ilvl="6" w:tplc="3EDAC3FE" w:tentative="1">
      <w:start w:val="1"/>
      <w:numFmt w:val="bullet"/>
      <w:lvlText w:val="•"/>
      <w:lvlJc w:val="left"/>
      <w:pPr>
        <w:tabs>
          <w:tab w:val="num" w:pos="5040"/>
        </w:tabs>
        <w:ind w:left="5040" w:hanging="360"/>
      </w:pPr>
      <w:rPr>
        <w:rFonts w:ascii="Times New Roman" w:hAnsi="Times New Roman" w:hint="default"/>
      </w:rPr>
    </w:lvl>
    <w:lvl w:ilvl="7" w:tplc="81C49C1E" w:tentative="1">
      <w:start w:val="1"/>
      <w:numFmt w:val="bullet"/>
      <w:lvlText w:val="•"/>
      <w:lvlJc w:val="left"/>
      <w:pPr>
        <w:tabs>
          <w:tab w:val="num" w:pos="5760"/>
        </w:tabs>
        <w:ind w:left="5760" w:hanging="360"/>
      </w:pPr>
      <w:rPr>
        <w:rFonts w:ascii="Times New Roman" w:hAnsi="Times New Roman" w:hint="default"/>
      </w:rPr>
    </w:lvl>
    <w:lvl w:ilvl="8" w:tplc="A4B0985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359238C"/>
    <w:multiLevelType w:val="multilevel"/>
    <w:tmpl w:val="F648C9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79"/>
    <w:rsid w:val="000002D4"/>
    <w:rsid w:val="000003E4"/>
    <w:rsid w:val="00000626"/>
    <w:rsid w:val="000041D0"/>
    <w:rsid w:val="000109A3"/>
    <w:rsid w:val="000111BC"/>
    <w:rsid w:val="000122C3"/>
    <w:rsid w:val="000166BD"/>
    <w:rsid w:val="000167E4"/>
    <w:rsid w:val="00017341"/>
    <w:rsid w:val="00025EF1"/>
    <w:rsid w:val="00026D11"/>
    <w:rsid w:val="0002721A"/>
    <w:rsid w:val="00027716"/>
    <w:rsid w:val="0003222E"/>
    <w:rsid w:val="000331CB"/>
    <w:rsid w:val="00036704"/>
    <w:rsid w:val="00036A61"/>
    <w:rsid w:val="00037666"/>
    <w:rsid w:val="00040F8D"/>
    <w:rsid w:val="00041D30"/>
    <w:rsid w:val="0004285B"/>
    <w:rsid w:val="00045BF1"/>
    <w:rsid w:val="00051BE3"/>
    <w:rsid w:val="00052365"/>
    <w:rsid w:val="00053AD2"/>
    <w:rsid w:val="000614A1"/>
    <w:rsid w:val="00063106"/>
    <w:rsid w:val="000676D4"/>
    <w:rsid w:val="00067FB1"/>
    <w:rsid w:val="00070B64"/>
    <w:rsid w:val="00071238"/>
    <w:rsid w:val="000715A5"/>
    <w:rsid w:val="00080D8B"/>
    <w:rsid w:val="0008296D"/>
    <w:rsid w:val="00083041"/>
    <w:rsid w:val="000834EC"/>
    <w:rsid w:val="000835C5"/>
    <w:rsid w:val="000858BC"/>
    <w:rsid w:val="00086EE5"/>
    <w:rsid w:val="00092EB5"/>
    <w:rsid w:val="00094CAF"/>
    <w:rsid w:val="000951BE"/>
    <w:rsid w:val="00096F49"/>
    <w:rsid w:val="000A1654"/>
    <w:rsid w:val="000A16D3"/>
    <w:rsid w:val="000A1DBD"/>
    <w:rsid w:val="000A5824"/>
    <w:rsid w:val="000A7E15"/>
    <w:rsid w:val="000B1102"/>
    <w:rsid w:val="000B2017"/>
    <w:rsid w:val="000B21B9"/>
    <w:rsid w:val="000B28AF"/>
    <w:rsid w:val="000B31F2"/>
    <w:rsid w:val="000C04B0"/>
    <w:rsid w:val="000C083D"/>
    <w:rsid w:val="000C2C66"/>
    <w:rsid w:val="000D1F35"/>
    <w:rsid w:val="000D3F44"/>
    <w:rsid w:val="000D3F73"/>
    <w:rsid w:val="000D7125"/>
    <w:rsid w:val="000E6A59"/>
    <w:rsid w:val="000F08DE"/>
    <w:rsid w:val="000F0FD0"/>
    <w:rsid w:val="000F135A"/>
    <w:rsid w:val="000F2184"/>
    <w:rsid w:val="000F4645"/>
    <w:rsid w:val="000F5068"/>
    <w:rsid w:val="000F5FAA"/>
    <w:rsid w:val="0010153C"/>
    <w:rsid w:val="001037E1"/>
    <w:rsid w:val="001041FF"/>
    <w:rsid w:val="00104E5C"/>
    <w:rsid w:val="00105015"/>
    <w:rsid w:val="00105C0E"/>
    <w:rsid w:val="00121332"/>
    <w:rsid w:val="00122C0F"/>
    <w:rsid w:val="00132CC0"/>
    <w:rsid w:val="001349DA"/>
    <w:rsid w:val="00137CB6"/>
    <w:rsid w:val="00140996"/>
    <w:rsid w:val="00140F21"/>
    <w:rsid w:val="001419DA"/>
    <w:rsid w:val="0014267C"/>
    <w:rsid w:val="001429B6"/>
    <w:rsid w:val="00143F04"/>
    <w:rsid w:val="001444D5"/>
    <w:rsid w:val="00144F9E"/>
    <w:rsid w:val="00147E36"/>
    <w:rsid w:val="00151AB6"/>
    <w:rsid w:val="0015361E"/>
    <w:rsid w:val="00154142"/>
    <w:rsid w:val="00154BDC"/>
    <w:rsid w:val="00155C57"/>
    <w:rsid w:val="00156337"/>
    <w:rsid w:val="00156585"/>
    <w:rsid w:val="00157C76"/>
    <w:rsid w:val="00157CAC"/>
    <w:rsid w:val="00160A81"/>
    <w:rsid w:val="00162637"/>
    <w:rsid w:val="00162BDB"/>
    <w:rsid w:val="0016503F"/>
    <w:rsid w:val="0017247B"/>
    <w:rsid w:val="0017648F"/>
    <w:rsid w:val="00176E95"/>
    <w:rsid w:val="00184A4B"/>
    <w:rsid w:val="00185930"/>
    <w:rsid w:val="001873E8"/>
    <w:rsid w:val="0018746E"/>
    <w:rsid w:val="001916B8"/>
    <w:rsid w:val="00192E13"/>
    <w:rsid w:val="001952EC"/>
    <w:rsid w:val="00195752"/>
    <w:rsid w:val="00197850"/>
    <w:rsid w:val="001A0352"/>
    <w:rsid w:val="001A1B56"/>
    <w:rsid w:val="001A7795"/>
    <w:rsid w:val="001A7C21"/>
    <w:rsid w:val="001B3B0D"/>
    <w:rsid w:val="001B56D2"/>
    <w:rsid w:val="001B73EC"/>
    <w:rsid w:val="001B76B5"/>
    <w:rsid w:val="001C1647"/>
    <w:rsid w:val="001C2D2D"/>
    <w:rsid w:val="001C60A0"/>
    <w:rsid w:val="001D6446"/>
    <w:rsid w:val="001D681E"/>
    <w:rsid w:val="001E1284"/>
    <w:rsid w:val="001E12CE"/>
    <w:rsid w:val="001E1DAA"/>
    <w:rsid w:val="001E2379"/>
    <w:rsid w:val="001E5553"/>
    <w:rsid w:val="001F1577"/>
    <w:rsid w:val="001F2874"/>
    <w:rsid w:val="001F3CF1"/>
    <w:rsid w:val="001F5824"/>
    <w:rsid w:val="001F673B"/>
    <w:rsid w:val="001F6C6F"/>
    <w:rsid w:val="00202135"/>
    <w:rsid w:val="00204E9C"/>
    <w:rsid w:val="00205316"/>
    <w:rsid w:val="002072E5"/>
    <w:rsid w:val="002110CB"/>
    <w:rsid w:val="002118CE"/>
    <w:rsid w:val="00212013"/>
    <w:rsid w:val="00212AE7"/>
    <w:rsid w:val="002156BA"/>
    <w:rsid w:val="00217423"/>
    <w:rsid w:val="0022054C"/>
    <w:rsid w:val="00220BDC"/>
    <w:rsid w:val="002253CE"/>
    <w:rsid w:val="0023143D"/>
    <w:rsid w:val="00232406"/>
    <w:rsid w:val="00232AF8"/>
    <w:rsid w:val="002348A3"/>
    <w:rsid w:val="002349AA"/>
    <w:rsid w:val="00236E99"/>
    <w:rsid w:val="00237BA4"/>
    <w:rsid w:val="00241D4F"/>
    <w:rsid w:val="00242F34"/>
    <w:rsid w:val="0024391A"/>
    <w:rsid w:val="002441D8"/>
    <w:rsid w:val="0025197C"/>
    <w:rsid w:val="002529BA"/>
    <w:rsid w:val="002541D7"/>
    <w:rsid w:val="0025481F"/>
    <w:rsid w:val="00255B35"/>
    <w:rsid w:val="00257269"/>
    <w:rsid w:val="0026028E"/>
    <w:rsid w:val="00265CB8"/>
    <w:rsid w:val="00265D4D"/>
    <w:rsid w:val="0026613F"/>
    <w:rsid w:val="002715C9"/>
    <w:rsid w:val="00271B51"/>
    <w:rsid w:val="002738C6"/>
    <w:rsid w:val="00273A00"/>
    <w:rsid w:val="002747CD"/>
    <w:rsid w:val="00274FCD"/>
    <w:rsid w:val="00275329"/>
    <w:rsid w:val="00275959"/>
    <w:rsid w:val="00280415"/>
    <w:rsid w:val="002813DC"/>
    <w:rsid w:val="00285A0D"/>
    <w:rsid w:val="00287CF3"/>
    <w:rsid w:val="00293B67"/>
    <w:rsid w:val="0029639E"/>
    <w:rsid w:val="002975CC"/>
    <w:rsid w:val="002979C2"/>
    <w:rsid w:val="002A0069"/>
    <w:rsid w:val="002A1364"/>
    <w:rsid w:val="002A1942"/>
    <w:rsid w:val="002A319A"/>
    <w:rsid w:val="002A3C46"/>
    <w:rsid w:val="002A54D6"/>
    <w:rsid w:val="002A54EF"/>
    <w:rsid w:val="002A7C9D"/>
    <w:rsid w:val="002B098C"/>
    <w:rsid w:val="002B554D"/>
    <w:rsid w:val="002B71D9"/>
    <w:rsid w:val="002B7CC2"/>
    <w:rsid w:val="002C422C"/>
    <w:rsid w:val="002C4A08"/>
    <w:rsid w:val="002C601B"/>
    <w:rsid w:val="002C6791"/>
    <w:rsid w:val="002D082A"/>
    <w:rsid w:val="002D258C"/>
    <w:rsid w:val="002D2C50"/>
    <w:rsid w:val="002E044E"/>
    <w:rsid w:val="002E1D37"/>
    <w:rsid w:val="002E6E23"/>
    <w:rsid w:val="002E7178"/>
    <w:rsid w:val="002E7C74"/>
    <w:rsid w:val="002F2421"/>
    <w:rsid w:val="002F28B2"/>
    <w:rsid w:val="002F3D5B"/>
    <w:rsid w:val="002F5BA3"/>
    <w:rsid w:val="00300706"/>
    <w:rsid w:val="00303112"/>
    <w:rsid w:val="00304A80"/>
    <w:rsid w:val="00305EBD"/>
    <w:rsid w:val="00307625"/>
    <w:rsid w:val="00312651"/>
    <w:rsid w:val="003142F5"/>
    <w:rsid w:val="00316F45"/>
    <w:rsid w:val="00317C36"/>
    <w:rsid w:val="00321567"/>
    <w:rsid w:val="00322634"/>
    <w:rsid w:val="00322C0A"/>
    <w:rsid w:val="003252AB"/>
    <w:rsid w:val="0033257A"/>
    <w:rsid w:val="00336DA3"/>
    <w:rsid w:val="00341696"/>
    <w:rsid w:val="00341BE1"/>
    <w:rsid w:val="00341D31"/>
    <w:rsid w:val="003445C7"/>
    <w:rsid w:val="003445F0"/>
    <w:rsid w:val="00352123"/>
    <w:rsid w:val="003527E4"/>
    <w:rsid w:val="00352F2B"/>
    <w:rsid w:val="003530FC"/>
    <w:rsid w:val="003574E5"/>
    <w:rsid w:val="00361029"/>
    <w:rsid w:val="0036284B"/>
    <w:rsid w:val="00363157"/>
    <w:rsid w:val="00363913"/>
    <w:rsid w:val="003675F5"/>
    <w:rsid w:val="003708C8"/>
    <w:rsid w:val="00372DA6"/>
    <w:rsid w:val="00375F35"/>
    <w:rsid w:val="003764EB"/>
    <w:rsid w:val="00377004"/>
    <w:rsid w:val="00377E7A"/>
    <w:rsid w:val="0038309F"/>
    <w:rsid w:val="0038491E"/>
    <w:rsid w:val="003852F2"/>
    <w:rsid w:val="00386200"/>
    <w:rsid w:val="00386DD1"/>
    <w:rsid w:val="003918F6"/>
    <w:rsid w:val="0039214E"/>
    <w:rsid w:val="00392266"/>
    <w:rsid w:val="00393B91"/>
    <w:rsid w:val="00394AD5"/>
    <w:rsid w:val="003A2510"/>
    <w:rsid w:val="003A4FF5"/>
    <w:rsid w:val="003B3A2F"/>
    <w:rsid w:val="003B5257"/>
    <w:rsid w:val="003C073A"/>
    <w:rsid w:val="003C2D17"/>
    <w:rsid w:val="003C528F"/>
    <w:rsid w:val="003C6698"/>
    <w:rsid w:val="003D23B3"/>
    <w:rsid w:val="003D2EE7"/>
    <w:rsid w:val="003D4144"/>
    <w:rsid w:val="003D4CD8"/>
    <w:rsid w:val="003D753C"/>
    <w:rsid w:val="003E0234"/>
    <w:rsid w:val="003E0F84"/>
    <w:rsid w:val="003E0FE1"/>
    <w:rsid w:val="003E1A26"/>
    <w:rsid w:val="003E3A54"/>
    <w:rsid w:val="003E4532"/>
    <w:rsid w:val="003E4DA5"/>
    <w:rsid w:val="003F01FA"/>
    <w:rsid w:val="003F042F"/>
    <w:rsid w:val="003F1456"/>
    <w:rsid w:val="003F15BA"/>
    <w:rsid w:val="003F265A"/>
    <w:rsid w:val="003F2731"/>
    <w:rsid w:val="003F2964"/>
    <w:rsid w:val="004027C8"/>
    <w:rsid w:val="004036D8"/>
    <w:rsid w:val="0040772C"/>
    <w:rsid w:val="0041232F"/>
    <w:rsid w:val="00412D49"/>
    <w:rsid w:val="0041389D"/>
    <w:rsid w:val="00413A3A"/>
    <w:rsid w:val="00413BF2"/>
    <w:rsid w:val="00416618"/>
    <w:rsid w:val="00425D22"/>
    <w:rsid w:val="00431B9B"/>
    <w:rsid w:val="00432462"/>
    <w:rsid w:val="00432A7D"/>
    <w:rsid w:val="00433AD4"/>
    <w:rsid w:val="00434499"/>
    <w:rsid w:val="00435290"/>
    <w:rsid w:val="004356C7"/>
    <w:rsid w:val="00441268"/>
    <w:rsid w:val="00441384"/>
    <w:rsid w:val="004418FC"/>
    <w:rsid w:val="00442AEA"/>
    <w:rsid w:val="00445055"/>
    <w:rsid w:val="004450DE"/>
    <w:rsid w:val="0044515B"/>
    <w:rsid w:val="00447383"/>
    <w:rsid w:val="00450A31"/>
    <w:rsid w:val="0045149F"/>
    <w:rsid w:val="004542BC"/>
    <w:rsid w:val="00454309"/>
    <w:rsid w:val="00454C5F"/>
    <w:rsid w:val="00457338"/>
    <w:rsid w:val="0046296F"/>
    <w:rsid w:val="004629AA"/>
    <w:rsid w:val="0046705C"/>
    <w:rsid w:val="0047050F"/>
    <w:rsid w:val="00470537"/>
    <w:rsid w:val="00474D00"/>
    <w:rsid w:val="00475BEE"/>
    <w:rsid w:val="0048056E"/>
    <w:rsid w:val="004837E6"/>
    <w:rsid w:val="004862E0"/>
    <w:rsid w:val="00490854"/>
    <w:rsid w:val="00495FA5"/>
    <w:rsid w:val="00497065"/>
    <w:rsid w:val="004A1477"/>
    <w:rsid w:val="004A24B8"/>
    <w:rsid w:val="004A30FE"/>
    <w:rsid w:val="004A574C"/>
    <w:rsid w:val="004B0AE3"/>
    <w:rsid w:val="004B2E49"/>
    <w:rsid w:val="004B4079"/>
    <w:rsid w:val="004B410C"/>
    <w:rsid w:val="004B7C72"/>
    <w:rsid w:val="004B7F03"/>
    <w:rsid w:val="004C00B3"/>
    <w:rsid w:val="004C3079"/>
    <w:rsid w:val="004C6552"/>
    <w:rsid w:val="004D07BD"/>
    <w:rsid w:val="004D2A27"/>
    <w:rsid w:val="004E2EFF"/>
    <w:rsid w:val="004E5A48"/>
    <w:rsid w:val="004E7E57"/>
    <w:rsid w:val="004F318D"/>
    <w:rsid w:val="004F347E"/>
    <w:rsid w:val="004F3ADC"/>
    <w:rsid w:val="004F5D2E"/>
    <w:rsid w:val="005018AB"/>
    <w:rsid w:val="00502E7C"/>
    <w:rsid w:val="00504A3D"/>
    <w:rsid w:val="005071E8"/>
    <w:rsid w:val="00510293"/>
    <w:rsid w:val="0051087F"/>
    <w:rsid w:val="0051290C"/>
    <w:rsid w:val="0051371F"/>
    <w:rsid w:val="00515B73"/>
    <w:rsid w:val="005161D5"/>
    <w:rsid w:val="00516D32"/>
    <w:rsid w:val="00517A3D"/>
    <w:rsid w:val="005205E0"/>
    <w:rsid w:val="00521E04"/>
    <w:rsid w:val="005239C0"/>
    <w:rsid w:val="005248A5"/>
    <w:rsid w:val="00527F64"/>
    <w:rsid w:val="00530452"/>
    <w:rsid w:val="00530EEA"/>
    <w:rsid w:val="00533D67"/>
    <w:rsid w:val="00535EA3"/>
    <w:rsid w:val="005362A3"/>
    <w:rsid w:val="00536B51"/>
    <w:rsid w:val="005434C3"/>
    <w:rsid w:val="00544629"/>
    <w:rsid w:val="00545776"/>
    <w:rsid w:val="00546656"/>
    <w:rsid w:val="005527FB"/>
    <w:rsid w:val="005538A3"/>
    <w:rsid w:val="00553A17"/>
    <w:rsid w:val="00554095"/>
    <w:rsid w:val="005578FE"/>
    <w:rsid w:val="00562C49"/>
    <w:rsid w:val="00563200"/>
    <w:rsid w:val="005634EE"/>
    <w:rsid w:val="00564735"/>
    <w:rsid w:val="0056566B"/>
    <w:rsid w:val="00566825"/>
    <w:rsid w:val="00566AE8"/>
    <w:rsid w:val="00567161"/>
    <w:rsid w:val="00584A57"/>
    <w:rsid w:val="00584CB4"/>
    <w:rsid w:val="00587CD5"/>
    <w:rsid w:val="00590B0A"/>
    <w:rsid w:val="00592CB3"/>
    <w:rsid w:val="00593CAC"/>
    <w:rsid w:val="00595BD8"/>
    <w:rsid w:val="00595BE5"/>
    <w:rsid w:val="00596567"/>
    <w:rsid w:val="005A23BD"/>
    <w:rsid w:val="005B07F6"/>
    <w:rsid w:val="005B0EFE"/>
    <w:rsid w:val="005B2B18"/>
    <w:rsid w:val="005B374D"/>
    <w:rsid w:val="005C0A7F"/>
    <w:rsid w:val="005C1335"/>
    <w:rsid w:val="005C7AFE"/>
    <w:rsid w:val="005D141E"/>
    <w:rsid w:val="005D45E4"/>
    <w:rsid w:val="005E28BC"/>
    <w:rsid w:val="005E44A5"/>
    <w:rsid w:val="005E497B"/>
    <w:rsid w:val="005E609D"/>
    <w:rsid w:val="005F0C5C"/>
    <w:rsid w:val="005F0E03"/>
    <w:rsid w:val="005F10BF"/>
    <w:rsid w:val="005F4E32"/>
    <w:rsid w:val="005F775B"/>
    <w:rsid w:val="005F79A6"/>
    <w:rsid w:val="005F7C44"/>
    <w:rsid w:val="006013D6"/>
    <w:rsid w:val="006023E7"/>
    <w:rsid w:val="00605EA2"/>
    <w:rsid w:val="00606C67"/>
    <w:rsid w:val="00606D2C"/>
    <w:rsid w:val="00614E46"/>
    <w:rsid w:val="00620A64"/>
    <w:rsid w:val="006427B8"/>
    <w:rsid w:val="00644664"/>
    <w:rsid w:val="00646713"/>
    <w:rsid w:val="00647858"/>
    <w:rsid w:val="00650B1B"/>
    <w:rsid w:val="00650F03"/>
    <w:rsid w:val="006514A9"/>
    <w:rsid w:val="00652A46"/>
    <w:rsid w:val="00654C90"/>
    <w:rsid w:val="006638BF"/>
    <w:rsid w:val="006643E2"/>
    <w:rsid w:val="00667D06"/>
    <w:rsid w:val="00672048"/>
    <w:rsid w:val="00672C4A"/>
    <w:rsid w:val="00674CF2"/>
    <w:rsid w:val="006762C1"/>
    <w:rsid w:val="006776A9"/>
    <w:rsid w:val="00681B45"/>
    <w:rsid w:val="006833D9"/>
    <w:rsid w:val="006904F7"/>
    <w:rsid w:val="006932D8"/>
    <w:rsid w:val="0069606A"/>
    <w:rsid w:val="00697A12"/>
    <w:rsid w:val="00697D4E"/>
    <w:rsid w:val="006A0C32"/>
    <w:rsid w:val="006A213D"/>
    <w:rsid w:val="006A2AA0"/>
    <w:rsid w:val="006A67D6"/>
    <w:rsid w:val="006A69E5"/>
    <w:rsid w:val="006B1CA7"/>
    <w:rsid w:val="006B51CB"/>
    <w:rsid w:val="006B5685"/>
    <w:rsid w:val="006B681B"/>
    <w:rsid w:val="006C0684"/>
    <w:rsid w:val="006C1976"/>
    <w:rsid w:val="006D4492"/>
    <w:rsid w:val="006D4559"/>
    <w:rsid w:val="006D5390"/>
    <w:rsid w:val="006D53D3"/>
    <w:rsid w:val="006E1FDF"/>
    <w:rsid w:val="006E2A07"/>
    <w:rsid w:val="006E3249"/>
    <w:rsid w:val="006E41A9"/>
    <w:rsid w:val="006E6A94"/>
    <w:rsid w:val="006E7A2A"/>
    <w:rsid w:val="006F48DA"/>
    <w:rsid w:val="006F4A41"/>
    <w:rsid w:val="006F648B"/>
    <w:rsid w:val="006F7A2D"/>
    <w:rsid w:val="00701D54"/>
    <w:rsid w:val="00703FF9"/>
    <w:rsid w:val="00704876"/>
    <w:rsid w:val="0070499B"/>
    <w:rsid w:val="00705678"/>
    <w:rsid w:val="00707EFA"/>
    <w:rsid w:val="00711332"/>
    <w:rsid w:val="0072250F"/>
    <w:rsid w:val="007240C2"/>
    <w:rsid w:val="00724288"/>
    <w:rsid w:val="00724F7E"/>
    <w:rsid w:val="00726CA6"/>
    <w:rsid w:val="00727C11"/>
    <w:rsid w:val="00730BFF"/>
    <w:rsid w:val="00733602"/>
    <w:rsid w:val="0073365E"/>
    <w:rsid w:val="00733E10"/>
    <w:rsid w:val="00736828"/>
    <w:rsid w:val="00741A09"/>
    <w:rsid w:val="007423DC"/>
    <w:rsid w:val="00743185"/>
    <w:rsid w:val="0074708C"/>
    <w:rsid w:val="00747C30"/>
    <w:rsid w:val="00750CD8"/>
    <w:rsid w:val="00752BB3"/>
    <w:rsid w:val="007548B3"/>
    <w:rsid w:val="007602EE"/>
    <w:rsid w:val="00762B0C"/>
    <w:rsid w:val="0076585C"/>
    <w:rsid w:val="00775B30"/>
    <w:rsid w:val="007813AE"/>
    <w:rsid w:val="007825D8"/>
    <w:rsid w:val="00785BBF"/>
    <w:rsid w:val="007937FB"/>
    <w:rsid w:val="00793A41"/>
    <w:rsid w:val="007952EF"/>
    <w:rsid w:val="00795EEC"/>
    <w:rsid w:val="007A15BC"/>
    <w:rsid w:val="007A23A4"/>
    <w:rsid w:val="007A6769"/>
    <w:rsid w:val="007A7470"/>
    <w:rsid w:val="007B1957"/>
    <w:rsid w:val="007B28E8"/>
    <w:rsid w:val="007B594B"/>
    <w:rsid w:val="007B5F09"/>
    <w:rsid w:val="007B5FAA"/>
    <w:rsid w:val="007B6619"/>
    <w:rsid w:val="007B7E8B"/>
    <w:rsid w:val="007D13C4"/>
    <w:rsid w:val="007D1CF5"/>
    <w:rsid w:val="007D4070"/>
    <w:rsid w:val="007D6F8D"/>
    <w:rsid w:val="007E5BA9"/>
    <w:rsid w:val="007E6F4E"/>
    <w:rsid w:val="007F2F0B"/>
    <w:rsid w:val="007F351A"/>
    <w:rsid w:val="007F5DC8"/>
    <w:rsid w:val="0080290A"/>
    <w:rsid w:val="00805D2A"/>
    <w:rsid w:val="00807234"/>
    <w:rsid w:val="00810492"/>
    <w:rsid w:val="0081104F"/>
    <w:rsid w:val="00816743"/>
    <w:rsid w:val="00816E1B"/>
    <w:rsid w:val="008210F2"/>
    <w:rsid w:val="0082476D"/>
    <w:rsid w:val="00825991"/>
    <w:rsid w:val="00825DC2"/>
    <w:rsid w:val="0082738A"/>
    <w:rsid w:val="00827EEF"/>
    <w:rsid w:val="00833FBE"/>
    <w:rsid w:val="0083550C"/>
    <w:rsid w:val="00836BBE"/>
    <w:rsid w:val="0084040B"/>
    <w:rsid w:val="0084106F"/>
    <w:rsid w:val="00842C0E"/>
    <w:rsid w:val="00847560"/>
    <w:rsid w:val="00853AA5"/>
    <w:rsid w:val="00853C2A"/>
    <w:rsid w:val="008551AD"/>
    <w:rsid w:val="00856720"/>
    <w:rsid w:val="008578F6"/>
    <w:rsid w:val="008624C7"/>
    <w:rsid w:val="00863623"/>
    <w:rsid w:val="00864AA1"/>
    <w:rsid w:val="00864B54"/>
    <w:rsid w:val="00866AA3"/>
    <w:rsid w:val="00867EA9"/>
    <w:rsid w:val="00870814"/>
    <w:rsid w:val="008723E1"/>
    <w:rsid w:val="00873DB2"/>
    <w:rsid w:val="008747D5"/>
    <w:rsid w:val="00876368"/>
    <w:rsid w:val="008764C3"/>
    <w:rsid w:val="00876D1E"/>
    <w:rsid w:val="00876F59"/>
    <w:rsid w:val="00877378"/>
    <w:rsid w:val="00886927"/>
    <w:rsid w:val="00887922"/>
    <w:rsid w:val="00887E7A"/>
    <w:rsid w:val="00894015"/>
    <w:rsid w:val="008949D6"/>
    <w:rsid w:val="00895B81"/>
    <w:rsid w:val="0089624E"/>
    <w:rsid w:val="00897523"/>
    <w:rsid w:val="008A1515"/>
    <w:rsid w:val="008A2441"/>
    <w:rsid w:val="008A320A"/>
    <w:rsid w:val="008A4984"/>
    <w:rsid w:val="008A7062"/>
    <w:rsid w:val="008B029D"/>
    <w:rsid w:val="008B526C"/>
    <w:rsid w:val="008B6859"/>
    <w:rsid w:val="008B6D5A"/>
    <w:rsid w:val="008B7F2E"/>
    <w:rsid w:val="008C4E4D"/>
    <w:rsid w:val="008C5216"/>
    <w:rsid w:val="008C6780"/>
    <w:rsid w:val="008C6E79"/>
    <w:rsid w:val="008C768E"/>
    <w:rsid w:val="008D1A6E"/>
    <w:rsid w:val="008D3870"/>
    <w:rsid w:val="008D48FB"/>
    <w:rsid w:val="008D6A17"/>
    <w:rsid w:val="008D7B2F"/>
    <w:rsid w:val="008E18AC"/>
    <w:rsid w:val="008E529E"/>
    <w:rsid w:val="008E7021"/>
    <w:rsid w:val="008E70A2"/>
    <w:rsid w:val="008F456F"/>
    <w:rsid w:val="008F465B"/>
    <w:rsid w:val="008F6201"/>
    <w:rsid w:val="0090154E"/>
    <w:rsid w:val="00901B9C"/>
    <w:rsid w:val="00903D5C"/>
    <w:rsid w:val="00904046"/>
    <w:rsid w:val="009044D4"/>
    <w:rsid w:val="00904FCC"/>
    <w:rsid w:val="00905B58"/>
    <w:rsid w:val="00905F8A"/>
    <w:rsid w:val="00906485"/>
    <w:rsid w:val="00910BBA"/>
    <w:rsid w:val="009110D7"/>
    <w:rsid w:val="009127A3"/>
    <w:rsid w:val="009158BD"/>
    <w:rsid w:val="00922C76"/>
    <w:rsid w:val="00927C5D"/>
    <w:rsid w:val="00930C80"/>
    <w:rsid w:val="009315C6"/>
    <w:rsid w:val="00934BA5"/>
    <w:rsid w:val="00935736"/>
    <w:rsid w:val="00944639"/>
    <w:rsid w:val="009463E2"/>
    <w:rsid w:val="0095014C"/>
    <w:rsid w:val="0095094C"/>
    <w:rsid w:val="00950AEE"/>
    <w:rsid w:val="00950EF3"/>
    <w:rsid w:val="009534DA"/>
    <w:rsid w:val="00953785"/>
    <w:rsid w:val="009570A9"/>
    <w:rsid w:val="00957644"/>
    <w:rsid w:val="009617BA"/>
    <w:rsid w:val="00961AC1"/>
    <w:rsid w:val="00965F27"/>
    <w:rsid w:val="00966052"/>
    <w:rsid w:val="0096703B"/>
    <w:rsid w:val="0096718F"/>
    <w:rsid w:val="009801EE"/>
    <w:rsid w:val="00981D84"/>
    <w:rsid w:val="00981FA7"/>
    <w:rsid w:val="009855F9"/>
    <w:rsid w:val="009865DE"/>
    <w:rsid w:val="00986860"/>
    <w:rsid w:val="00990022"/>
    <w:rsid w:val="00990C51"/>
    <w:rsid w:val="00990F27"/>
    <w:rsid w:val="00992A28"/>
    <w:rsid w:val="00993FFD"/>
    <w:rsid w:val="00994F76"/>
    <w:rsid w:val="00995987"/>
    <w:rsid w:val="009960DE"/>
    <w:rsid w:val="00996CC3"/>
    <w:rsid w:val="0099729C"/>
    <w:rsid w:val="009A517C"/>
    <w:rsid w:val="009A6E3A"/>
    <w:rsid w:val="009B0EF5"/>
    <w:rsid w:val="009B0F8C"/>
    <w:rsid w:val="009B137B"/>
    <w:rsid w:val="009B2AED"/>
    <w:rsid w:val="009B369A"/>
    <w:rsid w:val="009B3D6E"/>
    <w:rsid w:val="009B46C9"/>
    <w:rsid w:val="009B63DD"/>
    <w:rsid w:val="009B77F7"/>
    <w:rsid w:val="009B7AD0"/>
    <w:rsid w:val="009C31EA"/>
    <w:rsid w:val="009C4C20"/>
    <w:rsid w:val="009C5B8B"/>
    <w:rsid w:val="009C6C20"/>
    <w:rsid w:val="009D2620"/>
    <w:rsid w:val="009D486A"/>
    <w:rsid w:val="009D4EDB"/>
    <w:rsid w:val="009D50D6"/>
    <w:rsid w:val="009D7859"/>
    <w:rsid w:val="009D7C1F"/>
    <w:rsid w:val="009D7D04"/>
    <w:rsid w:val="009E09A8"/>
    <w:rsid w:val="009E5194"/>
    <w:rsid w:val="009E53E0"/>
    <w:rsid w:val="009F5BCD"/>
    <w:rsid w:val="009F6908"/>
    <w:rsid w:val="009F7FF7"/>
    <w:rsid w:val="00A00D8D"/>
    <w:rsid w:val="00A0232D"/>
    <w:rsid w:val="00A052EB"/>
    <w:rsid w:val="00A1160E"/>
    <w:rsid w:val="00A12737"/>
    <w:rsid w:val="00A17704"/>
    <w:rsid w:val="00A1786C"/>
    <w:rsid w:val="00A21350"/>
    <w:rsid w:val="00A24D43"/>
    <w:rsid w:val="00A26350"/>
    <w:rsid w:val="00A27D77"/>
    <w:rsid w:val="00A34940"/>
    <w:rsid w:val="00A34A89"/>
    <w:rsid w:val="00A4226D"/>
    <w:rsid w:val="00A42A84"/>
    <w:rsid w:val="00A438BB"/>
    <w:rsid w:val="00A43F8B"/>
    <w:rsid w:val="00A44CC8"/>
    <w:rsid w:val="00A477B9"/>
    <w:rsid w:val="00A50D9A"/>
    <w:rsid w:val="00A64000"/>
    <w:rsid w:val="00A646EC"/>
    <w:rsid w:val="00A65894"/>
    <w:rsid w:val="00A6744A"/>
    <w:rsid w:val="00A70DC0"/>
    <w:rsid w:val="00A7563D"/>
    <w:rsid w:val="00A765D8"/>
    <w:rsid w:val="00A838FD"/>
    <w:rsid w:val="00A91F27"/>
    <w:rsid w:val="00A92777"/>
    <w:rsid w:val="00A93335"/>
    <w:rsid w:val="00A9355C"/>
    <w:rsid w:val="00AA01BE"/>
    <w:rsid w:val="00AA1D8F"/>
    <w:rsid w:val="00AA2E1A"/>
    <w:rsid w:val="00AA48AB"/>
    <w:rsid w:val="00AA4F91"/>
    <w:rsid w:val="00AB05DB"/>
    <w:rsid w:val="00AB1CA9"/>
    <w:rsid w:val="00AB5F43"/>
    <w:rsid w:val="00AB7B50"/>
    <w:rsid w:val="00AC0C5B"/>
    <w:rsid w:val="00AC208B"/>
    <w:rsid w:val="00AD4A99"/>
    <w:rsid w:val="00AD7C32"/>
    <w:rsid w:val="00AE2546"/>
    <w:rsid w:val="00AE3652"/>
    <w:rsid w:val="00AE5A92"/>
    <w:rsid w:val="00AE6093"/>
    <w:rsid w:val="00AE6EE8"/>
    <w:rsid w:val="00AF0541"/>
    <w:rsid w:val="00AF34E9"/>
    <w:rsid w:val="00AF4E5B"/>
    <w:rsid w:val="00AF5AE1"/>
    <w:rsid w:val="00AF6D0B"/>
    <w:rsid w:val="00B02049"/>
    <w:rsid w:val="00B035F8"/>
    <w:rsid w:val="00B03845"/>
    <w:rsid w:val="00B043D7"/>
    <w:rsid w:val="00B05822"/>
    <w:rsid w:val="00B06CD5"/>
    <w:rsid w:val="00B113CD"/>
    <w:rsid w:val="00B137A4"/>
    <w:rsid w:val="00B139AD"/>
    <w:rsid w:val="00B13E9A"/>
    <w:rsid w:val="00B15904"/>
    <w:rsid w:val="00B1749C"/>
    <w:rsid w:val="00B20BE6"/>
    <w:rsid w:val="00B20E11"/>
    <w:rsid w:val="00B22C21"/>
    <w:rsid w:val="00B25D64"/>
    <w:rsid w:val="00B270BA"/>
    <w:rsid w:val="00B31FBF"/>
    <w:rsid w:val="00B32144"/>
    <w:rsid w:val="00B33C88"/>
    <w:rsid w:val="00B4256E"/>
    <w:rsid w:val="00B42A1B"/>
    <w:rsid w:val="00B45889"/>
    <w:rsid w:val="00B458B6"/>
    <w:rsid w:val="00B46526"/>
    <w:rsid w:val="00B47055"/>
    <w:rsid w:val="00B526F0"/>
    <w:rsid w:val="00B533D3"/>
    <w:rsid w:val="00B53FD3"/>
    <w:rsid w:val="00B54911"/>
    <w:rsid w:val="00B559FD"/>
    <w:rsid w:val="00B56A7A"/>
    <w:rsid w:val="00B63A79"/>
    <w:rsid w:val="00B64EA5"/>
    <w:rsid w:val="00B72200"/>
    <w:rsid w:val="00B73EC7"/>
    <w:rsid w:val="00B76C86"/>
    <w:rsid w:val="00B77CD4"/>
    <w:rsid w:val="00B82C0B"/>
    <w:rsid w:val="00B87001"/>
    <w:rsid w:val="00B96BCD"/>
    <w:rsid w:val="00B976D2"/>
    <w:rsid w:val="00BA13F1"/>
    <w:rsid w:val="00BA2DBA"/>
    <w:rsid w:val="00BA3B42"/>
    <w:rsid w:val="00BA69F6"/>
    <w:rsid w:val="00BA724A"/>
    <w:rsid w:val="00BB103E"/>
    <w:rsid w:val="00BB275D"/>
    <w:rsid w:val="00BB4118"/>
    <w:rsid w:val="00BB52F3"/>
    <w:rsid w:val="00BB6BED"/>
    <w:rsid w:val="00BB77C4"/>
    <w:rsid w:val="00BC0776"/>
    <w:rsid w:val="00BC0A73"/>
    <w:rsid w:val="00BC33B3"/>
    <w:rsid w:val="00BC6708"/>
    <w:rsid w:val="00BC743E"/>
    <w:rsid w:val="00BD19D2"/>
    <w:rsid w:val="00BD3E77"/>
    <w:rsid w:val="00BD4EE6"/>
    <w:rsid w:val="00BD5461"/>
    <w:rsid w:val="00BE199A"/>
    <w:rsid w:val="00BE431D"/>
    <w:rsid w:val="00BE5710"/>
    <w:rsid w:val="00BF0565"/>
    <w:rsid w:val="00BF0CC2"/>
    <w:rsid w:val="00BF1469"/>
    <w:rsid w:val="00BF3C39"/>
    <w:rsid w:val="00BF3FDF"/>
    <w:rsid w:val="00BF455F"/>
    <w:rsid w:val="00BF5FD5"/>
    <w:rsid w:val="00BF66DB"/>
    <w:rsid w:val="00BF68D8"/>
    <w:rsid w:val="00BF71D0"/>
    <w:rsid w:val="00C01C62"/>
    <w:rsid w:val="00C03792"/>
    <w:rsid w:val="00C03C48"/>
    <w:rsid w:val="00C05A0B"/>
    <w:rsid w:val="00C05FC6"/>
    <w:rsid w:val="00C0629D"/>
    <w:rsid w:val="00C10490"/>
    <w:rsid w:val="00C112B1"/>
    <w:rsid w:val="00C1199D"/>
    <w:rsid w:val="00C12670"/>
    <w:rsid w:val="00C14B84"/>
    <w:rsid w:val="00C163A0"/>
    <w:rsid w:val="00C17ADA"/>
    <w:rsid w:val="00C20A7A"/>
    <w:rsid w:val="00C21C79"/>
    <w:rsid w:val="00C22AA8"/>
    <w:rsid w:val="00C22D7A"/>
    <w:rsid w:val="00C22E06"/>
    <w:rsid w:val="00C2611E"/>
    <w:rsid w:val="00C27D72"/>
    <w:rsid w:val="00C3454F"/>
    <w:rsid w:val="00C35296"/>
    <w:rsid w:val="00C35DD6"/>
    <w:rsid w:val="00C3671A"/>
    <w:rsid w:val="00C372F7"/>
    <w:rsid w:val="00C401D7"/>
    <w:rsid w:val="00C46E0A"/>
    <w:rsid w:val="00C51C93"/>
    <w:rsid w:val="00C5322D"/>
    <w:rsid w:val="00C560F7"/>
    <w:rsid w:val="00C56E8F"/>
    <w:rsid w:val="00C61EE5"/>
    <w:rsid w:val="00C63899"/>
    <w:rsid w:val="00C64271"/>
    <w:rsid w:val="00C6470D"/>
    <w:rsid w:val="00C6537B"/>
    <w:rsid w:val="00C70AFC"/>
    <w:rsid w:val="00C71A47"/>
    <w:rsid w:val="00C72462"/>
    <w:rsid w:val="00C74FAE"/>
    <w:rsid w:val="00C80BC7"/>
    <w:rsid w:val="00C816F1"/>
    <w:rsid w:val="00C83071"/>
    <w:rsid w:val="00C844D4"/>
    <w:rsid w:val="00C87C9B"/>
    <w:rsid w:val="00C87F87"/>
    <w:rsid w:val="00C909BA"/>
    <w:rsid w:val="00C91A7B"/>
    <w:rsid w:val="00C9246E"/>
    <w:rsid w:val="00C933E1"/>
    <w:rsid w:val="00C943C4"/>
    <w:rsid w:val="00C94BC2"/>
    <w:rsid w:val="00C976FE"/>
    <w:rsid w:val="00CA2536"/>
    <w:rsid w:val="00CA35E1"/>
    <w:rsid w:val="00CA6512"/>
    <w:rsid w:val="00CA6737"/>
    <w:rsid w:val="00CB01D2"/>
    <w:rsid w:val="00CB089F"/>
    <w:rsid w:val="00CB27C8"/>
    <w:rsid w:val="00CB296F"/>
    <w:rsid w:val="00CB3A73"/>
    <w:rsid w:val="00CB6D5E"/>
    <w:rsid w:val="00CB746A"/>
    <w:rsid w:val="00CC049C"/>
    <w:rsid w:val="00CC059E"/>
    <w:rsid w:val="00CC63D5"/>
    <w:rsid w:val="00CC6F7D"/>
    <w:rsid w:val="00CC7BD1"/>
    <w:rsid w:val="00CD5677"/>
    <w:rsid w:val="00CE0422"/>
    <w:rsid w:val="00CE3153"/>
    <w:rsid w:val="00CE372E"/>
    <w:rsid w:val="00CE525E"/>
    <w:rsid w:val="00CE57EF"/>
    <w:rsid w:val="00CE62CD"/>
    <w:rsid w:val="00CE6972"/>
    <w:rsid w:val="00CE6C46"/>
    <w:rsid w:val="00CF0E8A"/>
    <w:rsid w:val="00CF13AE"/>
    <w:rsid w:val="00CF2D68"/>
    <w:rsid w:val="00CF3DBE"/>
    <w:rsid w:val="00CF519F"/>
    <w:rsid w:val="00CF5DE2"/>
    <w:rsid w:val="00CF6FFE"/>
    <w:rsid w:val="00CF7ABD"/>
    <w:rsid w:val="00D01081"/>
    <w:rsid w:val="00D01294"/>
    <w:rsid w:val="00D03E6B"/>
    <w:rsid w:val="00D05004"/>
    <w:rsid w:val="00D05F2D"/>
    <w:rsid w:val="00D06C1B"/>
    <w:rsid w:val="00D11F87"/>
    <w:rsid w:val="00D124AB"/>
    <w:rsid w:val="00D13D62"/>
    <w:rsid w:val="00D1513B"/>
    <w:rsid w:val="00D15CDB"/>
    <w:rsid w:val="00D1645B"/>
    <w:rsid w:val="00D17EB5"/>
    <w:rsid w:val="00D20974"/>
    <w:rsid w:val="00D23C66"/>
    <w:rsid w:val="00D24C43"/>
    <w:rsid w:val="00D3158B"/>
    <w:rsid w:val="00D31CE4"/>
    <w:rsid w:val="00D32FC4"/>
    <w:rsid w:val="00D33F21"/>
    <w:rsid w:val="00D35F4E"/>
    <w:rsid w:val="00D440A4"/>
    <w:rsid w:val="00D4676F"/>
    <w:rsid w:val="00D54680"/>
    <w:rsid w:val="00D551F5"/>
    <w:rsid w:val="00D607DA"/>
    <w:rsid w:val="00D6191F"/>
    <w:rsid w:val="00D64941"/>
    <w:rsid w:val="00D64AEA"/>
    <w:rsid w:val="00D65530"/>
    <w:rsid w:val="00D743C7"/>
    <w:rsid w:val="00D75AFE"/>
    <w:rsid w:val="00D77FAE"/>
    <w:rsid w:val="00D80BDE"/>
    <w:rsid w:val="00D81AB5"/>
    <w:rsid w:val="00D81EFF"/>
    <w:rsid w:val="00D82E16"/>
    <w:rsid w:val="00D8547A"/>
    <w:rsid w:val="00D85F2D"/>
    <w:rsid w:val="00D9200D"/>
    <w:rsid w:val="00D92BA5"/>
    <w:rsid w:val="00D92D67"/>
    <w:rsid w:val="00D94D23"/>
    <w:rsid w:val="00D950A0"/>
    <w:rsid w:val="00D970A1"/>
    <w:rsid w:val="00DA1D49"/>
    <w:rsid w:val="00DA2373"/>
    <w:rsid w:val="00DA37DE"/>
    <w:rsid w:val="00DA3C9F"/>
    <w:rsid w:val="00DA5214"/>
    <w:rsid w:val="00DA672D"/>
    <w:rsid w:val="00DA7468"/>
    <w:rsid w:val="00DB016C"/>
    <w:rsid w:val="00DB0546"/>
    <w:rsid w:val="00DB06C0"/>
    <w:rsid w:val="00DB1EB6"/>
    <w:rsid w:val="00DB57BA"/>
    <w:rsid w:val="00DB6847"/>
    <w:rsid w:val="00DB7F3C"/>
    <w:rsid w:val="00DC3683"/>
    <w:rsid w:val="00DC7CAC"/>
    <w:rsid w:val="00DD2410"/>
    <w:rsid w:val="00DD4E5E"/>
    <w:rsid w:val="00DD5EB5"/>
    <w:rsid w:val="00DE2F47"/>
    <w:rsid w:val="00DE6AB7"/>
    <w:rsid w:val="00DE6CDF"/>
    <w:rsid w:val="00DE7464"/>
    <w:rsid w:val="00DF02FB"/>
    <w:rsid w:val="00DF0F82"/>
    <w:rsid w:val="00DF0F98"/>
    <w:rsid w:val="00DF27FE"/>
    <w:rsid w:val="00DF305E"/>
    <w:rsid w:val="00DF3D3D"/>
    <w:rsid w:val="00DF5396"/>
    <w:rsid w:val="00DF5922"/>
    <w:rsid w:val="00DF5D6A"/>
    <w:rsid w:val="00E0390F"/>
    <w:rsid w:val="00E07C57"/>
    <w:rsid w:val="00E12C06"/>
    <w:rsid w:val="00E15BA5"/>
    <w:rsid w:val="00E15EA1"/>
    <w:rsid w:val="00E1628E"/>
    <w:rsid w:val="00E265BC"/>
    <w:rsid w:val="00E3054F"/>
    <w:rsid w:val="00E3056C"/>
    <w:rsid w:val="00E31DE7"/>
    <w:rsid w:val="00E325F3"/>
    <w:rsid w:val="00E368C4"/>
    <w:rsid w:val="00E41B51"/>
    <w:rsid w:val="00E45D84"/>
    <w:rsid w:val="00E47F7F"/>
    <w:rsid w:val="00E51321"/>
    <w:rsid w:val="00E520A6"/>
    <w:rsid w:val="00E56A43"/>
    <w:rsid w:val="00E57FBC"/>
    <w:rsid w:val="00E614DB"/>
    <w:rsid w:val="00E66505"/>
    <w:rsid w:val="00E712C6"/>
    <w:rsid w:val="00E720C3"/>
    <w:rsid w:val="00E747A4"/>
    <w:rsid w:val="00E81BB5"/>
    <w:rsid w:val="00E82B16"/>
    <w:rsid w:val="00E838F5"/>
    <w:rsid w:val="00E8565F"/>
    <w:rsid w:val="00E86AC6"/>
    <w:rsid w:val="00E90C31"/>
    <w:rsid w:val="00E90CEF"/>
    <w:rsid w:val="00E91E77"/>
    <w:rsid w:val="00E93ABD"/>
    <w:rsid w:val="00E945CA"/>
    <w:rsid w:val="00E9767B"/>
    <w:rsid w:val="00EA0B20"/>
    <w:rsid w:val="00EA28CE"/>
    <w:rsid w:val="00EA3667"/>
    <w:rsid w:val="00EA4439"/>
    <w:rsid w:val="00EA628B"/>
    <w:rsid w:val="00EA6BE4"/>
    <w:rsid w:val="00EA6E19"/>
    <w:rsid w:val="00EA6F47"/>
    <w:rsid w:val="00EB05E6"/>
    <w:rsid w:val="00EB181A"/>
    <w:rsid w:val="00EB22F6"/>
    <w:rsid w:val="00EB2388"/>
    <w:rsid w:val="00EB5F2E"/>
    <w:rsid w:val="00EB6B98"/>
    <w:rsid w:val="00EB77C9"/>
    <w:rsid w:val="00EC1028"/>
    <w:rsid w:val="00EC1319"/>
    <w:rsid w:val="00EC2D9B"/>
    <w:rsid w:val="00EC2DF5"/>
    <w:rsid w:val="00EC44DE"/>
    <w:rsid w:val="00EC4FE8"/>
    <w:rsid w:val="00EC5D79"/>
    <w:rsid w:val="00ED1E40"/>
    <w:rsid w:val="00ED4F50"/>
    <w:rsid w:val="00ED50C5"/>
    <w:rsid w:val="00EE183E"/>
    <w:rsid w:val="00EE1E38"/>
    <w:rsid w:val="00EE55EC"/>
    <w:rsid w:val="00EE7A05"/>
    <w:rsid w:val="00EF48C6"/>
    <w:rsid w:val="00EF6E5F"/>
    <w:rsid w:val="00EF7E27"/>
    <w:rsid w:val="00F043E7"/>
    <w:rsid w:val="00F04FC6"/>
    <w:rsid w:val="00F054D0"/>
    <w:rsid w:val="00F05A30"/>
    <w:rsid w:val="00F0649F"/>
    <w:rsid w:val="00F10314"/>
    <w:rsid w:val="00F10A31"/>
    <w:rsid w:val="00F10FBB"/>
    <w:rsid w:val="00F10FFA"/>
    <w:rsid w:val="00F1371B"/>
    <w:rsid w:val="00F16777"/>
    <w:rsid w:val="00F17C03"/>
    <w:rsid w:val="00F2201D"/>
    <w:rsid w:val="00F22DAC"/>
    <w:rsid w:val="00F25627"/>
    <w:rsid w:val="00F257F7"/>
    <w:rsid w:val="00F25817"/>
    <w:rsid w:val="00F37292"/>
    <w:rsid w:val="00F44C43"/>
    <w:rsid w:val="00F50852"/>
    <w:rsid w:val="00F513D5"/>
    <w:rsid w:val="00F5151B"/>
    <w:rsid w:val="00F54020"/>
    <w:rsid w:val="00F602BD"/>
    <w:rsid w:val="00F615CF"/>
    <w:rsid w:val="00F64260"/>
    <w:rsid w:val="00F66317"/>
    <w:rsid w:val="00F6659C"/>
    <w:rsid w:val="00F66B10"/>
    <w:rsid w:val="00F678C3"/>
    <w:rsid w:val="00F70E00"/>
    <w:rsid w:val="00F74E3F"/>
    <w:rsid w:val="00F7696F"/>
    <w:rsid w:val="00F82BB8"/>
    <w:rsid w:val="00F83212"/>
    <w:rsid w:val="00F85C67"/>
    <w:rsid w:val="00F8753B"/>
    <w:rsid w:val="00F87860"/>
    <w:rsid w:val="00F87E86"/>
    <w:rsid w:val="00F90A1C"/>
    <w:rsid w:val="00F91B83"/>
    <w:rsid w:val="00F96354"/>
    <w:rsid w:val="00F9706A"/>
    <w:rsid w:val="00FA13C3"/>
    <w:rsid w:val="00FA3F22"/>
    <w:rsid w:val="00FA705C"/>
    <w:rsid w:val="00FB2244"/>
    <w:rsid w:val="00FB3116"/>
    <w:rsid w:val="00FB3A0D"/>
    <w:rsid w:val="00FB4C23"/>
    <w:rsid w:val="00FB5170"/>
    <w:rsid w:val="00FB5387"/>
    <w:rsid w:val="00FB5C46"/>
    <w:rsid w:val="00FC0CE4"/>
    <w:rsid w:val="00FC1112"/>
    <w:rsid w:val="00FC6A36"/>
    <w:rsid w:val="00FD0343"/>
    <w:rsid w:val="00FD2393"/>
    <w:rsid w:val="00FD25D7"/>
    <w:rsid w:val="00FD6970"/>
    <w:rsid w:val="00FD6C05"/>
    <w:rsid w:val="00FD71C8"/>
    <w:rsid w:val="00FD72A6"/>
    <w:rsid w:val="00FD763C"/>
    <w:rsid w:val="00FE0426"/>
    <w:rsid w:val="00FE1A00"/>
    <w:rsid w:val="00FE38D3"/>
    <w:rsid w:val="00FF1165"/>
    <w:rsid w:val="00FF51B9"/>
    <w:rsid w:val="00FF58F9"/>
    <w:rsid w:val="00FF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12B8152-EC17-4A47-B828-D34156C0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D67"/>
    <w:pPr>
      <w:spacing w:after="200" w:line="276" w:lineRule="auto"/>
    </w:pPr>
    <w:rPr>
      <w:rFonts w:eastAsia="Times New Roman" w:cs="Calibri"/>
      <w:sz w:val="22"/>
      <w:szCs w:val="22"/>
      <w:lang w:eastAsia="en-US"/>
    </w:rPr>
  </w:style>
  <w:style w:type="paragraph" w:styleId="1">
    <w:name w:val="heading 1"/>
    <w:basedOn w:val="a"/>
    <w:next w:val="a"/>
    <w:link w:val="10"/>
    <w:qFormat/>
    <w:locked/>
    <w:rsid w:val="001978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90854"/>
    <w:pPr>
      <w:spacing w:after="0" w:line="240" w:lineRule="auto"/>
    </w:pPr>
    <w:rPr>
      <w:rFonts w:ascii="Tahoma" w:hAnsi="Tahoma" w:cs="Tahoma"/>
      <w:sz w:val="16"/>
      <w:szCs w:val="16"/>
      <w:lang w:eastAsia="ru-RU"/>
    </w:rPr>
  </w:style>
  <w:style w:type="character" w:customStyle="1" w:styleId="a4">
    <w:name w:val="Текст выноски Знак"/>
    <w:link w:val="a3"/>
    <w:semiHidden/>
    <w:locked/>
    <w:rsid w:val="00490854"/>
    <w:rPr>
      <w:rFonts w:ascii="Tahoma" w:hAnsi="Tahoma" w:cs="Tahoma"/>
      <w:sz w:val="16"/>
      <w:szCs w:val="16"/>
    </w:rPr>
  </w:style>
  <w:style w:type="paragraph" w:customStyle="1" w:styleId="21">
    <w:name w:val="Знак2 Знак Знак Знак Знак Знак Знак1"/>
    <w:basedOn w:val="a"/>
    <w:rsid w:val="00C20A7A"/>
    <w:pPr>
      <w:spacing w:after="0" w:line="240" w:lineRule="auto"/>
    </w:pPr>
    <w:rPr>
      <w:rFonts w:ascii="Verdana" w:eastAsia="Calibri" w:hAnsi="Verdana" w:cs="Verdana"/>
      <w:sz w:val="20"/>
      <w:szCs w:val="20"/>
      <w:lang w:val="en-US"/>
    </w:rPr>
  </w:style>
  <w:style w:type="paragraph" w:customStyle="1" w:styleId="2">
    <w:name w:val="Знак2 Знак Знак Знак"/>
    <w:basedOn w:val="a"/>
    <w:rsid w:val="00553A17"/>
    <w:pPr>
      <w:spacing w:after="0" w:line="240" w:lineRule="auto"/>
    </w:pPr>
    <w:rPr>
      <w:rFonts w:ascii="Verdana" w:eastAsia="Calibri" w:hAnsi="Verdana" w:cs="Verdana"/>
      <w:sz w:val="20"/>
      <w:szCs w:val="20"/>
      <w:lang w:val="en-US"/>
    </w:rPr>
  </w:style>
  <w:style w:type="paragraph" w:customStyle="1" w:styleId="31">
    <w:name w:val="Знак3 Знак Знак Знак1 Знак Знак Знак"/>
    <w:basedOn w:val="a"/>
    <w:rsid w:val="00307625"/>
    <w:pPr>
      <w:spacing w:after="160" w:line="240" w:lineRule="exact"/>
    </w:pPr>
    <w:rPr>
      <w:rFonts w:ascii="Verdana" w:eastAsia="Calibri" w:hAnsi="Verdana" w:cs="Verdana"/>
      <w:sz w:val="20"/>
      <w:szCs w:val="20"/>
      <w:lang w:val="en-US"/>
    </w:rPr>
  </w:style>
  <w:style w:type="paragraph" w:customStyle="1" w:styleId="211">
    <w:name w:val="Знак2 Знак Знак Знак Знак Знак Знак11"/>
    <w:basedOn w:val="a"/>
    <w:rsid w:val="00C63899"/>
    <w:pPr>
      <w:spacing w:after="0" w:line="240" w:lineRule="auto"/>
    </w:pPr>
    <w:rPr>
      <w:rFonts w:ascii="Verdana" w:eastAsia="Calibri" w:hAnsi="Verdana" w:cs="Verdana"/>
      <w:sz w:val="20"/>
      <w:szCs w:val="20"/>
      <w:lang w:val="en-US"/>
    </w:rPr>
  </w:style>
  <w:style w:type="paragraph" w:customStyle="1" w:styleId="311">
    <w:name w:val="Знак3 Знак Знак Знак1 Знак Знак Знак1"/>
    <w:basedOn w:val="a"/>
    <w:rsid w:val="00C63899"/>
    <w:pPr>
      <w:spacing w:after="160" w:line="240" w:lineRule="exact"/>
    </w:pPr>
    <w:rPr>
      <w:rFonts w:ascii="Verdana" w:eastAsia="Calibri" w:hAnsi="Verdana" w:cs="Verdana"/>
      <w:sz w:val="20"/>
      <w:szCs w:val="20"/>
      <w:lang w:val="en-US"/>
    </w:rPr>
  </w:style>
  <w:style w:type="paragraph" w:customStyle="1" w:styleId="316">
    <w:name w:val="Знак3 Знак Знак Знак1 Знак Знак Знак6"/>
    <w:basedOn w:val="a"/>
    <w:rsid w:val="00990C51"/>
    <w:pPr>
      <w:spacing w:after="160" w:line="240" w:lineRule="exact"/>
    </w:pPr>
    <w:rPr>
      <w:rFonts w:ascii="Verdana" w:eastAsia="Calibri" w:hAnsi="Verdana" w:cs="Verdana"/>
      <w:sz w:val="20"/>
      <w:szCs w:val="20"/>
      <w:lang w:val="en-US"/>
    </w:rPr>
  </w:style>
  <w:style w:type="paragraph" w:customStyle="1" w:styleId="315">
    <w:name w:val="Знак3 Знак Знак Знак1 Знак Знак Знак5"/>
    <w:basedOn w:val="a"/>
    <w:rsid w:val="00C05FC6"/>
    <w:pPr>
      <w:spacing w:after="160" w:line="240" w:lineRule="exact"/>
    </w:pPr>
    <w:rPr>
      <w:rFonts w:ascii="Verdana" w:eastAsia="Calibri" w:hAnsi="Verdana" w:cs="Verdana"/>
      <w:sz w:val="20"/>
      <w:szCs w:val="20"/>
      <w:lang w:val="en-US"/>
    </w:rPr>
  </w:style>
  <w:style w:type="paragraph" w:customStyle="1" w:styleId="314">
    <w:name w:val="Знак3 Знак Знак Знак1 Знак Знак Знак4"/>
    <w:basedOn w:val="a"/>
    <w:rsid w:val="006E2A07"/>
    <w:pPr>
      <w:spacing w:after="160" w:line="240" w:lineRule="exact"/>
    </w:pPr>
    <w:rPr>
      <w:rFonts w:ascii="Verdana" w:eastAsia="Calibri" w:hAnsi="Verdana" w:cs="Verdana"/>
      <w:sz w:val="20"/>
      <w:szCs w:val="20"/>
      <w:lang w:val="en-US"/>
    </w:rPr>
  </w:style>
  <w:style w:type="paragraph" w:styleId="a5">
    <w:name w:val="Title"/>
    <w:basedOn w:val="a"/>
    <w:link w:val="a6"/>
    <w:qFormat/>
    <w:locked/>
    <w:rsid w:val="006E2A07"/>
    <w:pPr>
      <w:spacing w:after="0" w:line="240" w:lineRule="auto"/>
      <w:jc w:val="center"/>
    </w:pPr>
    <w:rPr>
      <w:rFonts w:ascii="Arial" w:eastAsia="Calibri" w:hAnsi="Arial" w:cs="Arial"/>
      <w:b/>
      <w:bCs/>
      <w:sz w:val="26"/>
      <w:szCs w:val="26"/>
      <w:lang w:val="en-US" w:eastAsia="ru-RU"/>
    </w:rPr>
  </w:style>
  <w:style w:type="character" w:customStyle="1" w:styleId="a6">
    <w:name w:val="Название Знак"/>
    <w:link w:val="a5"/>
    <w:locked/>
    <w:rsid w:val="006E2A07"/>
    <w:rPr>
      <w:rFonts w:ascii="Arial" w:hAnsi="Arial" w:cs="Arial"/>
      <w:b/>
      <w:bCs/>
      <w:sz w:val="26"/>
      <w:szCs w:val="26"/>
      <w:lang w:val="en-US" w:eastAsia="x-none"/>
    </w:rPr>
  </w:style>
  <w:style w:type="paragraph" w:customStyle="1" w:styleId="313">
    <w:name w:val="Знак3 Знак Знак Знак1 Знак Знак Знак3"/>
    <w:basedOn w:val="a"/>
    <w:rsid w:val="00232406"/>
    <w:pPr>
      <w:spacing w:after="160" w:line="240" w:lineRule="exact"/>
    </w:pPr>
    <w:rPr>
      <w:rFonts w:ascii="Verdana" w:eastAsia="Calibri" w:hAnsi="Verdana" w:cs="Verdana"/>
      <w:sz w:val="20"/>
      <w:szCs w:val="20"/>
      <w:lang w:val="en-US"/>
    </w:rPr>
  </w:style>
  <w:style w:type="paragraph" w:styleId="a7">
    <w:name w:val="Body Text Indent"/>
    <w:basedOn w:val="a"/>
    <w:link w:val="a8"/>
    <w:rsid w:val="00352F2B"/>
    <w:pPr>
      <w:spacing w:after="120" w:line="240" w:lineRule="auto"/>
      <w:ind w:left="283"/>
    </w:pPr>
    <w:rPr>
      <w:rFonts w:ascii="Times New Roman" w:eastAsia="Calibri" w:hAnsi="Times New Roman" w:cs="Times New Roman"/>
      <w:sz w:val="24"/>
      <w:szCs w:val="24"/>
      <w:lang w:eastAsia="ru-RU"/>
    </w:rPr>
  </w:style>
  <w:style w:type="character" w:customStyle="1" w:styleId="a8">
    <w:name w:val="Основной текст с отступом Знак"/>
    <w:link w:val="a7"/>
    <w:locked/>
    <w:rsid w:val="00352F2B"/>
    <w:rPr>
      <w:rFonts w:ascii="Times New Roman" w:hAnsi="Times New Roman" w:cs="Times New Roman"/>
      <w:sz w:val="24"/>
      <w:szCs w:val="24"/>
    </w:rPr>
  </w:style>
  <w:style w:type="paragraph" w:customStyle="1" w:styleId="312">
    <w:name w:val="Знак3 Знак Знак Знак1 Знак Знак Знак2"/>
    <w:basedOn w:val="a"/>
    <w:rsid w:val="00F615CF"/>
    <w:pPr>
      <w:spacing w:after="160" w:line="240" w:lineRule="exact"/>
    </w:pPr>
    <w:rPr>
      <w:rFonts w:ascii="Verdana" w:eastAsia="Calibri" w:hAnsi="Verdana" w:cs="Verdana"/>
      <w:sz w:val="20"/>
      <w:szCs w:val="20"/>
      <w:lang w:val="en-US"/>
    </w:rPr>
  </w:style>
  <w:style w:type="table" w:styleId="a9">
    <w:name w:val="Table Grid"/>
    <w:basedOn w:val="a1"/>
    <w:locked/>
    <w:rsid w:val="009537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D81AB5"/>
    <w:pPr>
      <w:tabs>
        <w:tab w:val="center" w:pos="4677"/>
        <w:tab w:val="right" w:pos="9355"/>
      </w:tabs>
    </w:pPr>
  </w:style>
  <w:style w:type="character" w:customStyle="1" w:styleId="ab">
    <w:name w:val="Нижний колонтитул Знак"/>
    <w:link w:val="aa"/>
    <w:uiPriority w:val="99"/>
    <w:locked/>
    <w:rPr>
      <w:rFonts w:cs="Calibri"/>
      <w:lang w:val="x-none" w:eastAsia="en-US"/>
    </w:rPr>
  </w:style>
  <w:style w:type="character" w:styleId="ac">
    <w:name w:val="page number"/>
    <w:rsid w:val="00D81AB5"/>
    <w:rPr>
      <w:rFonts w:cs="Times New Roman"/>
    </w:rPr>
  </w:style>
  <w:style w:type="paragraph" w:styleId="ad">
    <w:name w:val="header"/>
    <w:basedOn w:val="a"/>
    <w:rsid w:val="004837E6"/>
    <w:pPr>
      <w:tabs>
        <w:tab w:val="center" w:pos="4677"/>
        <w:tab w:val="right" w:pos="9355"/>
      </w:tabs>
    </w:pPr>
  </w:style>
  <w:style w:type="paragraph" w:styleId="ae">
    <w:name w:val="List Paragraph"/>
    <w:basedOn w:val="a"/>
    <w:link w:val="af"/>
    <w:uiPriority w:val="34"/>
    <w:qFormat/>
    <w:rsid w:val="004A24B8"/>
    <w:pPr>
      <w:ind w:left="720"/>
      <w:contextualSpacing/>
    </w:pPr>
    <w:rPr>
      <w:rFonts w:cs="Times New Roman"/>
    </w:rPr>
  </w:style>
  <w:style w:type="character" w:customStyle="1" w:styleId="af">
    <w:name w:val="Абзац списка Знак"/>
    <w:link w:val="ae"/>
    <w:uiPriority w:val="34"/>
    <w:rsid w:val="004A24B8"/>
    <w:rPr>
      <w:rFonts w:eastAsia="Times New Roman"/>
      <w:sz w:val="22"/>
      <w:szCs w:val="22"/>
      <w:lang w:eastAsia="en-US"/>
    </w:rPr>
  </w:style>
  <w:style w:type="table" w:styleId="af0">
    <w:name w:val="Table Elegant"/>
    <w:basedOn w:val="a1"/>
    <w:rsid w:val="00241D4F"/>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
    <w:name w:val="Table Web 2"/>
    <w:basedOn w:val="a1"/>
    <w:rsid w:val="00241D4F"/>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241D4F"/>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241D4F"/>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1">
    <w:name w:val="No Spacing"/>
    <w:link w:val="af2"/>
    <w:uiPriority w:val="1"/>
    <w:qFormat/>
    <w:rsid w:val="00724288"/>
    <w:rPr>
      <w:rFonts w:eastAsia="Times New Roman" w:cs="Calibri"/>
      <w:sz w:val="22"/>
      <w:szCs w:val="22"/>
      <w:lang w:eastAsia="en-US"/>
    </w:rPr>
  </w:style>
  <w:style w:type="paragraph" w:styleId="HTML">
    <w:name w:val="HTML Preformatted"/>
    <w:basedOn w:val="a"/>
    <w:link w:val="HTML0"/>
    <w:uiPriority w:val="99"/>
    <w:rsid w:val="0072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724288"/>
    <w:rPr>
      <w:rFonts w:ascii="Courier New" w:eastAsia="Times New Roman" w:hAnsi="Courier New"/>
    </w:rPr>
  </w:style>
  <w:style w:type="paragraph" w:customStyle="1" w:styleId="ConsPlusNormal">
    <w:name w:val="ConsPlusNormal"/>
    <w:link w:val="ConsPlusNormal0"/>
    <w:rsid w:val="002B7CC2"/>
    <w:pPr>
      <w:widowControl w:val="0"/>
      <w:autoSpaceDE w:val="0"/>
      <w:autoSpaceDN w:val="0"/>
      <w:adjustRightInd w:val="0"/>
      <w:ind w:firstLine="720"/>
    </w:pPr>
    <w:rPr>
      <w:rFonts w:ascii="Arial" w:eastAsia="Times New Roman" w:hAnsi="Arial" w:cs="Arial"/>
    </w:rPr>
  </w:style>
  <w:style w:type="character" w:customStyle="1" w:styleId="CharStyle8">
    <w:name w:val="Char Style 8"/>
    <w:rsid w:val="00A44CC8"/>
    <w:rPr>
      <w:b/>
      <w:bCs/>
      <w:sz w:val="27"/>
      <w:szCs w:val="27"/>
      <w:lang w:eastAsia="ar-SA" w:bidi="ar-SA"/>
    </w:rPr>
  </w:style>
  <w:style w:type="paragraph" w:styleId="af3">
    <w:name w:val="footnote text"/>
    <w:basedOn w:val="a"/>
    <w:link w:val="af4"/>
    <w:rsid w:val="002C601B"/>
    <w:pPr>
      <w:spacing w:after="0" w:line="240" w:lineRule="auto"/>
    </w:pPr>
    <w:rPr>
      <w:rFonts w:ascii="Times New Roman" w:hAnsi="Times New Roman" w:cs="Times New Roman"/>
      <w:sz w:val="20"/>
      <w:szCs w:val="20"/>
      <w:lang w:eastAsia="ru-RU"/>
    </w:rPr>
  </w:style>
  <w:style w:type="character" w:customStyle="1" w:styleId="af4">
    <w:name w:val="Текст сноски Знак"/>
    <w:basedOn w:val="a0"/>
    <w:link w:val="af3"/>
    <w:rsid w:val="002C601B"/>
    <w:rPr>
      <w:rFonts w:ascii="Times New Roman" w:eastAsia="Times New Roman" w:hAnsi="Times New Roman"/>
    </w:rPr>
  </w:style>
  <w:style w:type="character" w:styleId="af5">
    <w:name w:val="footnote reference"/>
    <w:rsid w:val="002C601B"/>
    <w:rPr>
      <w:vertAlign w:val="superscript"/>
    </w:rPr>
  </w:style>
  <w:style w:type="character" w:customStyle="1" w:styleId="ConsPlusNormal0">
    <w:name w:val="ConsPlusNormal Знак"/>
    <w:link w:val="ConsPlusNormal"/>
    <w:locked/>
    <w:rsid w:val="00CC059E"/>
    <w:rPr>
      <w:rFonts w:ascii="Arial" w:eastAsia="Times New Roman" w:hAnsi="Arial" w:cs="Arial"/>
    </w:rPr>
  </w:style>
  <w:style w:type="paragraph" w:styleId="20">
    <w:name w:val="Body Text Indent 2"/>
    <w:basedOn w:val="a"/>
    <w:link w:val="22"/>
    <w:semiHidden/>
    <w:unhideWhenUsed/>
    <w:rsid w:val="005F79A6"/>
    <w:pPr>
      <w:spacing w:after="120" w:line="480" w:lineRule="auto"/>
      <w:ind w:left="283"/>
    </w:pPr>
  </w:style>
  <w:style w:type="character" w:customStyle="1" w:styleId="22">
    <w:name w:val="Основной текст с отступом 2 Знак"/>
    <w:basedOn w:val="a0"/>
    <w:link w:val="20"/>
    <w:semiHidden/>
    <w:rsid w:val="005F79A6"/>
    <w:rPr>
      <w:rFonts w:eastAsia="Times New Roman" w:cs="Calibri"/>
      <w:sz w:val="22"/>
      <w:szCs w:val="22"/>
      <w:lang w:eastAsia="en-US"/>
    </w:rPr>
  </w:style>
  <w:style w:type="character" w:styleId="af6">
    <w:name w:val="annotation reference"/>
    <w:basedOn w:val="a0"/>
    <w:semiHidden/>
    <w:unhideWhenUsed/>
    <w:rsid w:val="005F79A6"/>
    <w:rPr>
      <w:sz w:val="16"/>
      <w:szCs w:val="16"/>
    </w:rPr>
  </w:style>
  <w:style w:type="paragraph" w:styleId="af7">
    <w:name w:val="annotation text"/>
    <w:basedOn w:val="a"/>
    <w:link w:val="af8"/>
    <w:semiHidden/>
    <w:unhideWhenUsed/>
    <w:rsid w:val="005F79A6"/>
    <w:pPr>
      <w:spacing w:line="240" w:lineRule="auto"/>
    </w:pPr>
    <w:rPr>
      <w:sz w:val="20"/>
      <w:szCs w:val="20"/>
    </w:rPr>
  </w:style>
  <w:style w:type="character" w:customStyle="1" w:styleId="af8">
    <w:name w:val="Текст примечания Знак"/>
    <w:basedOn w:val="a0"/>
    <w:link w:val="af7"/>
    <w:semiHidden/>
    <w:rsid w:val="005F79A6"/>
    <w:rPr>
      <w:rFonts w:eastAsia="Times New Roman" w:cs="Calibri"/>
      <w:lang w:eastAsia="en-US"/>
    </w:rPr>
  </w:style>
  <w:style w:type="character" w:customStyle="1" w:styleId="af2">
    <w:name w:val="Без интервала Знак"/>
    <w:basedOn w:val="a0"/>
    <w:link w:val="af1"/>
    <w:uiPriority w:val="1"/>
    <w:rsid w:val="00990F27"/>
    <w:rPr>
      <w:rFonts w:eastAsia="Times New Roman" w:cs="Calibri"/>
      <w:sz w:val="22"/>
      <w:szCs w:val="22"/>
      <w:lang w:eastAsia="en-US"/>
    </w:rPr>
  </w:style>
  <w:style w:type="paragraph" w:customStyle="1" w:styleId="4">
    <w:name w:val="Знак Знак4 Знак Знак Знак Знак"/>
    <w:basedOn w:val="a"/>
    <w:uiPriority w:val="99"/>
    <w:rsid w:val="00F22DAC"/>
    <w:pPr>
      <w:spacing w:after="160" w:line="240" w:lineRule="exact"/>
    </w:pPr>
    <w:rPr>
      <w:rFonts w:ascii="Arial" w:hAnsi="Arial" w:cs="Arial"/>
      <w:sz w:val="20"/>
      <w:szCs w:val="20"/>
      <w:lang w:val="en-US"/>
    </w:rPr>
  </w:style>
  <w:style w:type="paragraph" w:styleId="af9">
    <w:name w:val="Normal (Web)"/>
    <w:basedOn w:val="a"/>
    <w:uiPriority w:val="99"/>
    <w:rsid w:val="00F22DA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rsid w:val="00197850"/>
    <w:rPr>
      <w:rFonts w:asciiTheme="majorHAnsi" w:eastAsiaTheme="majorEastAsia" w:hAnsiTheme="majorHAnsi" w:cstheme="majorBidi"/>
      <w:color w:val="365F91" w:themeColor="accent1" w:themeShade="BF"/>
      <w:sz w:val="32"/>
      <w:szCs w:val="32"/>
      <w:lang w:eastAsia="en-US"/>
    </w:rPr>
  </w:style>
  <w:style w:type="paragraph" w:styleId="11">
    <w:name w:val="toc 1"/>
    <w:basedOn w:val="a"/>
    <w:next w:val="a"/>
    <w:autoRedefine/>
    <w:uiPriority w:val="39"/>
    <w:unhideWhenUsed/>
    <w:locked/>
    <w:rsid w:val="00197850"/>
    <w:pPr>
      <w:spacing w:after="100"/>
    </w:pPr>
  </w:style>
  <w:style w:type="character" w:styleId="afa">
    <w:name w:val="Hyperlink"/>
    <w:basedOn w:val="a0"/>
    <w:uiPriority w:val="99"/>
    <w:unhideWhenUsed/>
    <w:rsid w:val="00197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83003">
      <w:bodyDiv w:val="1"/>
      <w:marLeft w:val="0"/>
      <w:marRight w:val="0"/>
      <w:marTop w:val="0"/>
      <w:marBottom w:val="0"/>
      <w:divBdr>
        <w:top w:val="none" w:sz="0" w:space="0" w:color="auto"/>
        <w:left w:val="none" w:sz="0" w:space="0" w:color="auto"/>
        <w:bottom w:val="none" w:sz="0" w:space="0" w:color="auto"/>
        <w:right w:val="none" w:sz="0" w:space="0" w:color="auto"/>
      </w:divBdr>
    </w:div>
    <w:div w:id="1269503414">
      <w:bodyDiv w:val="1"/>
      <w:marLeft w:val="0"/>
      <w:marRight w:val="0"/>
      <w:marTop w:val="0"/>
      <w:marBottom w:val="0"/>
      <w:divBdr>
        <w:top w:val="none" w:sz="0" w:space="0" w:color="auto"/>
        <w:left w:val="none" w:sz="0" w:space="0" w:color="auto"/>
        <w:bottom w:val="none" w:sz="0" w:space="0" w:color="auto"/>
        <w:right w:val="none" w:sz="0" w:space="0" w:color="auto"/>
      </w:divBdr>
    </w:div>
    <w:div w:id="1761826777">
      <w:bodyDiv w:val="1"/>
      <w:marLeft w:val="0"/>
      <w:marRight w:val="0"/>
      <w:marTop w:val="0"/>
      <w:marBottom w:val="0"/>
      <w:divBdr>
        <w:top w:val="none" w:sz="0" w:space="0" w:color="auto"/>
        <w:left w:val="none" w:sz="0" w:space="0" w:color="auto"/>
        <w:bottom w:val="none" w:sz="0" w:space="0" w:color="auto"/>
        <w:right w:val="none" w:sz="0" w:space="0" w:color="auto"/>
      </w:divBdr>
    </w:div>
    <w:div w:id="1872379173">
      <w:bodyDiv w:val="1"/>
      <w:marLeft w:val="0"/>
      <w:marRight w:val="0"/>
      <w:marTop w:val="0"/>
      <w:marBottom w:val="0"/>
      <w:divBdr>
        <w:top w:val="none" w:sz="0" w:space="0" w:color="auto"/>
        <w:left w:val="none" w:sz="0" w:space="0" w:color="auto"/>
        <w:bottom w:val="none" w:sz="0" w:space="0" w:color="auto"/>
        <w:right w:val="none" w:sz="0" w:space="0" w:color="auto"/>
      </w:divBdr>
    </w:div>
    <w:div w:id="1878619763">
      <w:bodyDiv w:val="1"/>
      <w:marLeft w:val="0"/>
      <w:marRight w:val="0"/>
      <w:marTop w:val="0"/>
      <w:marBottom w:val="0"/>
      <w:divBdr>
        <w:top w:val="none" w:sz="0" w:space="0" w:color="auto"/>
        <w:left w:val="none" w:sz="0" w:space="0" w:color="auto"/>
        <w:bottom w:val="none" w:sz="0" w:space="0" w:color="auto"/>
        <w:right w:val="none" w:sz="0" w:space="0" w:color="auto"/>
      </w:divBdr>
    </w:div>
    <w:div w:id="21165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c:spPr>
    </c:sideWall>
    <c:backWall>
      <c:thickness val="0"/>
      <c:spPr>
        <a:noFill/>
      </c:spPr>
    </c:backWall>
    <c:plotArea>
      <c:layout>
        <c:manualLayout>
          <c:layoutTarget val="inner"/>
          <c:xMode val="edge"/>
          <c:yMode val="edge"/>
          <c:x val="9.3912321992614775E-2"/>
          <c:y val="5.0332245054734014E-2"/>
          <c:w val="0.61448621739184006"/>
          <c:h val="0.8549078052940543"/>
        </c:manualLayout>
      </c:layout>
      <c:bar3DChart>
        <c:barDir val="col"/>
        <c:grouping val="clustered"/>
        <c:varyColors val="0"/>
        <c:ser>
          <c:idx val="0"/>
          <c:order val="0"/>
          <c:tx>
            <c:strRef>
              <c:f>Лист1!$B$1</c:f>
              <c:strCache>
                <c:ptCount val="1"/>
                <c:pt idx="0">
                  <c:v>Добыча полезных ископаемых</c:v>
                </c:pt>
              </c:strCache>
            </c:strRef>
          </c:tx>
          <c:spPr>
            <a:solidFill>
              <a:srgbClr val="0000CC"/>
            </a:solidFill>
          </c:spPr>
          <c:invertIfNegative val="0"/>
          <c:dLbls>
            <c:dLbl>
              <c:idx val="0"/>
              <c:layout>
                <c:manualLayout>
                  <c:x val="-6.2597809076682318E-2"/>
                  <c:y val="0.2073170731707317"/>
                </c:manualLayout>
              </c:layout>
              <c:tx>
                <c:rich>
                  <a:bodyPr rot="-5400000" vert="horz"/>
                  <a:lstStyle/>
                  <a:p>
                    <a:pPr>
                      <a:defRPr sz="1200" b="1">
                        <a:latin typeface="Times New Roman" panose="02020603050405020304" pitchFamily="18" charset="0"/>
                        <a:cs typeface="Times New Roman" panose="02020603050405020304" pitchFamily="18" charset="0"/>
                      </a:defRPr>
                    </a:pPr>
                    <a:r>
                      <a:rPr lang="en-US" sz="1200" b="1"/>
                      <a:t>9 703,2; 40,7%</a:t>
                    </a:r>
                    <a:endParaRPr lang="en-US"/>
                  </a:p>
                </c:rich>
              </c:tx>
              <c:numFmt formatCode="#,##0.0" sourceLinked="0"/>
              <c:spP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#,##0.0</c:formatCode>
                <c:ptCount val="1"/>
                <c:pt idx="0">
                  <c:v>9703.16</c:v>
                </c:pt>
              </c:numCache>
            </c:numRef>
          </c:val>
        </c:ser>
        <c:ser>
          <c:idx val="1"/>
          <c:order val="1"/>
          <c:tx>
            <c:strRef>
              <c:f>Лист1!$C$1</c:f>
              <c:strCache>
                <c:ptCount val="1"/>
                <c:pt idx="0">
                  <c:v>Обрабатывающие производства</c:v>
                </c:pt>
              </c:strCache>
            </c:strRef>
          </c:tx>
          <c:spPr>
            <a:solidFill>
              <a:srgbClr val="CC00FF"/>
            </a:solidFill>
          </c:spPr>
          <c:invertIfNegative val="0"/>
          <c:dLbls>
            <c:dLbl>
              <c:idx val="0"/>
              <c:layout>
                <c:manualLayout>
                  <c:x val="1.2519397516624975E-2"/>
                  <c:y val="0.33410761154855634"/>
                </c:manualLayout>
              </c:layout>
              <c:tx>
                <c:rich>
                  <a:bodyPr/>
                  <a:lstStyle/>
                  <a:p>
                    <a:r>
                      <a:rPr lang="en-US" sz="1200" b="1"/>
                      <a:t>4 855,9; 20,4%</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#,##0.0</c:formatCode>
                <c:ptCount val="1"/>
                <c:pt idx="0">
                  <c:v>4855.8999999999996</c:v>
                </c:pt>
              </c:numCache>
            </c:numRef>
          </c:val>
        </c:ser>
        <c:ser>
          <c:idx val="2"/>
          <c:order val="2"/>
          <c:tx>
            <c:strRef>
              <c:f>Лист1!$D$1</c:f>
              <c:strCache>
                <c:ptCount val="1"/>
                <c:pt idx="0">
                  <c:v>Производство и распределение электроэнергии, газа и воды</c:v>
                </c:pt>
              </c:strCache>
            </c:strRef>
          </c:tx>
          <c:spPr>
            <a:solidFill>
              <a:srgbClr val="66CCFF"/>
            </a:solidFill>
          </c:spPr>
          <c:invertIfNegative val="0"/>
          <c:dLbls>
            <c:dLbl>
              <c:idx val="0"/>
              <c:layout>
                <c:manualLayout>
                  <c:x val="3.3385498174230567E-2"/>
                  <c:y val="0.26016260162601629"/>
                </c:manualLayout>
              </c:layout>
              <c:tx>
                <c:rich>
                  <a:bodyPr/>
                  <a:lstStyle/>
                  <a:p>
                    <a:r>
                      <a:rPr lang="en-US" sz="1200" b="1"/>
                      <a:t>9 297,5; 38,9%</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#,##0.0</c:formatCode>
                <c:ptCount val="1"/>
                <c:pt idx="0">
                  <c:v>9297.5400000000009</c:v>
                </c:pt>
              </c:numCache>
            </c:numRef>
          </c:val>
        </c:ser>
        <c:dLbls>
          <c:showLegendKey val="0"/>
          <c:showVal val="0"/>
          <c:showCatName val="0"/>
          <c:showSerName val="0"/>
          <c:showPercent val="0"/>
          <c:showBubbleSize val="0"/>
        </c:dLbls>
        <c:gapWidth val="150"/>
        <c:shape val="cylinder"/>
        <c:axId val="243657824"/>
        <c:axId val="243659392"/>
        <c:axId val="0"/>
      </c:bar3DChart>
      <c:catAx>
        <c:axId val="243657824"/>
        <c:scaling>
          <c:orientation val="minMax"/>
        </c:scaling>
        <c:delete val="0"/>
        <c:axPos val="b"/>
        <c:numFmt formatCode="General" sourceLinked="1"/>
        <c:majorTickMark val="out"/>
        <c:minorTickMark val="none"/>
        <c:tickLblPos val="nextTo"/>
        <c:crossAx val="243659392"/>
        <c:crosses val="autoZero"/>
        <c:auto val="1"/>
        <c:lblAlgn val="ctr"/>
        <c:lblOffset val="100"/>
        <c:noMultiLvlLbl val="0"/>
      </c:catAx>
      <c:valAx>
        <c:axId val="243659392"/>
        <c:scaling>
          <c:orientation val="minMax"/>
        </c:scaling>
        <c:delete val="0"/>
        <c:axPos val="l"/>
        <c:majorGridlines>
          <c:spPr>
            <a:ln>
              <a:noFill/>
            </a:ln>
          </c:spPr>
        </c:majorGridlines>
        <c:numFmt formatCode="#,##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43657824"/>
        <c:crosses val="autoZero"/>
        <c:crossBetween val="between"/>
      </c:valAx>
    </c:plotArea>
    <c:legend>
      <c:legendPos val="r"/>
      <c:layout>
        <c:manualLayout>
          <c:xMode val="edge"/>
          <c:yMode val="edge"/>
          <c:x val="0.75221700573813255"/>
          <c:y val="6.4331988989181244E-2"/>
          <c:w val="0.23526343244653103"/>
          <c:h val="0.92424826207068966"/>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200"/>
            </a:pPr>
            <a:r>
              <a:rPr lang="ru-RU" sz="1200"/>
              <a:t>Численность работающих на малых и средних предприятиях (человек)</a:t>
            </a:r>
          </a:p>
        </c:rich>
      </c:tx>
      <c:layout>
        <c:manualLayout>
          <c:xMode val="edge"/>
          <c:yMode val="edge"/>
          <c:x val="0.14337114059763736"/>
          <c:y val="5.9104970480749672E-4"/>
        </c:manualLayout>
      </c:layout>
      <c:overlay val="0"/>
    </c:title>
    <c:autoTitleDeleted val="0"/>
    <c:plotArea>
      <c:layout>
        <c:manualLayout>
          <c:layoutTarget val="inner"/>
          <c:xMode val="edge"/>
          <c:yMode val="edge"/>
          <c:x val="0.11295681063122924"/>
          <c:y val="0.12760416666666666"/>
          <c:w val="0.79734219269102991"/>
          <c:h val="0.59895833333333337"/>
        </c:manualLayout>
      </c:layout>
      <c:barChart>
        <c:barDir val="col"/>
        <c:grouping val="clustered"/>
        <c:varyColors val="0"/>
        <c:ser>
          <c:idx val="1"/>
          <c:order val="0"/>
          <c:tx>
            <c:strRef>
              <c:f>Sheet1!$A$2</c:f>
              <c:strCache>
                <c:ptCount val="1"/>
                <c:pt idx="0">
                  <c:v>численность работающих на малых предприятиях</c:v>
                </c:pt>
              </c:strCache>
            </c:strRef>
          </c:tx>
          <c:spPr>
            <a:solidFill>
              <a:schemeClr val="accent1">
                <a:lumMod val="40000"/>
                <a:lumOff val="60000"/>
              </a:schemeClr>
            </a:solidFill>
          </c:spPr>
          <c:invertIfNegative val="0"/>
          <c:dLbls>
            <c:dLbl>
              <c:idx val="0"/>
              <c:layout>
                <c:manualLayout>
                  <c:x val="4.7949279518868071E-2"/>
                  <c:y val="0.11184501217923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7852114512175963E-2"/>
                  <c:y val="0.1263030970049606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916949123081469E-2"/>
                  <c:y val="0.1189985244650174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9994785420034417E-2"/>
                  <c:y val="9.144108784963030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9929950809128994E-2"/>
                  <c:y val="9.159187835333529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7852093529091901E-2"/>
                  <c:y val="7.08860759493670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год-отчет</c:v>
                </c:pt>
                <c:pt idx="1">
                  <c:v>2015 год-оценка</c:v>
                </c:pt>
                <c:pt idx="2">
                  <c:v>2016 год-прогноз</c:v>
                </c:pt>
                <c:pt idx="3">
                  <c:v>2017 год-прогноз</c:v>
                </c:pt>
                <c:pt idx="4">
                  <c:v>2018 год-прогноз</c:v>
                </c:pt>
              </c:strCache>
            </c:strRef>
          </c:cat>
          <c:val>
            <c:numRef>
              <c:f>Sheet1!$B$2:$F$2</c:f>
              <c:numCache>
                <c:formatCode>General</c:formatCode>
                <c:ptCount val="5"/>
                <c:pt idx="0">
                  <c:v>4014</c:v>
                </c:pt>
                <c:pt idx="1">
                  <c:v>4086</c:v>
                </c:pt>
                <c:pt idx="2">
                  <c:v>4210</c:v>
                </c:pt>
                <c:pt idx="3">
                  <c:v>4330</c:v>
                </c:pt>
                <c:pt idx="4">
                  <c:v>4460</c:v>
                </c:pt>
              </c:numCache>
            </c:numRef>
          </c:val>
        </c:ser>
        <c:ser>
          <c:idx val="2"/>
          <c:order val="2"/>
          <c:tx>
            <c:strRef>
              <c:f>Sheet1!$A$4</c:f>
              <c:strCache>
                <c:ptCount val="1"/>
                <c:pt idx="0">
                  <c:v>численность работающих на средних предприятиях</c:v>
                </c:pt>
              </c:strCache>
            </c:strRef>
          </c:tx>
          <c:spPr>
            <a:solidFill>
              <a:schemeClr val="accent3">
                <a:lumMod val="40000"/>
                <a:lumOff val="60000"/>
              </a:schemeClr>
            </a:solidFill>
          </c:spPr>
          <c:invertIfNegative val="0"/>
          <c:dLbls>
            <c:dLbl>
              <c:idx val="0"/>
              <c:layout>
                <c:manualLayout>
                  <c:x val="8.8300220750551668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2251655629135E-3"/>
                  <c:y val="-1.2561234359403077E-1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150110375275938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037527593818985E-2"/>
                  <c:y val="-6.2806171797015383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037527593818985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6225165562913907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год-отчет</c:v>
                </c:pt>
                <c:pt idx="1">
                  <c:v>2015 год-оценка</c:v>
                </c:pt>
                <c:pt idx="2">
                  <c:v>2016 год-прогноз</c:v>
                </c:pt>
                <c:pt idx="3">
                  <c:v>2017 год-прогноз</c:v>
                </c:pt>
                <c:pt idx="4">
                  <c:v>2018 год-прогноз</c:v>
                </c:pt>
              </c:strCache>
            </c:strRef>
          </c:cat>
          <c:val>
            <c:numRef>
              <c:f>Sheet1!$B$4:$F$4</c:f>
              <c:numCache>
                <c:formatCode>General</c:formatCode>
                <c:ptCount val="5"/>
                <c:pt idx="0">
                  <c:v>1410</c:v>
                </c:pt>
                <c:pt idx="1">
                  <c:v>1450</c:v>
                </c:pt>
                <c:pt idx="2">
                  <c:v>1770</c:v>
                </c:pt>
                <c:pt idx="3">
                  <c:v>1920</c:v>
                </c:pt>
                <c:pt idx="4">
                  <c:v>2220</c:v>
                </c:pt>
              </c:numCache>
            </c:numRef>
          </c:val>
        </c:ser>
        <c:dLbls>
          <c:showLegendKey val="0"/>
          <c:showVal val="0"/>
          <c:showCatName val="0"/>
          <c:showSerName val="0"/>
          <c:showPercent val="0"/>
          <c:showBubbleSize val="0"/>
        </c:dLbls>
        <c:gapWidth val="150"/>
        <c:axId val="665564728"/>
        <c:axId val="665565120"/>
      </c:barChart>
      <c:lineChart>
        <c:grouping val="standard"/>
        <c:varyColors val="0"/>
        <c:ser>
          <c:idx val="0"/>
          <c:order val="1"/>
          <c:tx>
            <c:strRef>
              <c:f>Sheet1!$A$3</c:f>
              <c:strCache>
                <c:ptCount val="1"/>
                <c:pt idx="0">
                  <c:v>доля работающих в малом и среднем бизнесе в общей численности занятых в экономике</c:v>
                </c:pt>
              </c:strCache>
            </c:strRef>
          </c:tx>
          <c:spPr>
            <a:ln w="44450" cap="sq">
              <a:solidFill>
                <a:srgbClr val="FF0000"/>
              </a:solidFill>
            </a:ln>
          </c:spPr>
          <c:dLbls>
            <c:dLbl>
              <c:idx val="0"/>
              <c:layout>
                <c:manualLayout>
                  <c:x val="-1.7976569154021311E-2"/>
                  <c:y val="-3.77011326821557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6315377796318465E-2"/>
                  <c:y val="-4.18291238775008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1.9199040517286332E-2"/>
                  <c:y val="-4.98161650656977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5782795362500217E-2"/>
                  <c:y val="-3.77707282992503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625087239299003E-2"/>
                  <c:y val="-3.35003820724941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872756933115824E-2"/>
                  <c:y val="-3.7130801687763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год-отчет</c:v>
                </c:pt>
                <c:pt idx="1">
                  <c:v>2015 год-оценка</c:v>
                </c:pt>
                <c:pt idx="2">
                  <c:v>2016 год-прогноз</c:v>
                </c:pt>
                <c:pt idx="3">
                  <c:v>2017 год-прогноз</c:v>
                </c:pt>
                <c:pt idx="4">
                  <c:v>2018 год-прогноз</c:v>
                </c:pt>
              </c:strCache>
            </c:strRef>
          </c:cat>
          <c:val>
            <c:numRef>
              <c:f>Sheet1!$B$3:$F$3</c:f>
              <c:numCache>
                <c:formatCode>0.0</c:formatCode>
                <c:ptCount val="5"/>
                <c:pt idx="0">
                  <c:v>14.61</c:v>
                </c:pt>
                <c:pt idx="1">
                  <c:v>15.47</c:v>
                </c:pt>
                <c:pt idx="2">
                  <c:v>16.63</c:v>
                </c:pt>
                <c:pt idx="3">
                  <c:v>17.13</c:v>
                </c:pt>
                <c:pt idx="4">
                  <c:v>18.07</c:v>
                </c:pt>
              </c:numCache>
            </c:numRef>
          </c:val>
          <c:smooth val="0"/>
        </c:ser>
        <c:dLbls>
          <c:showLegendKey val="0"/>
          <c:showVal val="0"/>
          <c:showCatName val="0"/>
          <c:showSerName val="0"/>
          <c:showPercent val="0"/>
          <c:showBubbleSize val="0"/>
        </c:dLbls>
        <c:marker val="1"/>
        <c:smooth val="0"/>
        <c:axId val="665565512"/>
        <c:axId val="665565904"/>
      </c:lineChart>
      <c:catAx>
        <c:axId val="665564728"/>
        <c:scaling>
          <c:orientation val="minMax"/>
        </c:scaling>
        <c:delete val="0"/>
        <c:axPos val="b"/>
        <c:numFmt formatCode="General" sourceLinked="1"/>
        <c:majorTickMark val="cross"/>
        <c:minorTickMark val="none"/>
        <c:tickLblPos val="nextTo"/>
        <c:txPr>
          <a:bodyPr rot="0" vert="horz"/>
          <a:lstStyle/>
          <a:p>
            <a:pPr>
              <a:defRPr/>
            </a:pPr>
            <a:endParaRPr lang="ru-RU"/>
          </a:p>
        </c:txPr>
        <c:crossAx val="665565120"/>
        <c:crosses val="autoZero"/>
        <c:auto val="0"/>
        <c:lblAlgn val="ctr"/>
        <c:lblOffset val="100"/>
        <c:tickLblSkip val="1"/>
        <c:tickMarkSkip val="1"/>
        <c:noMultiLvlLbl val="0"/>
      </c:catAx>
      <c:valAx>
        <c:axId val="665565120"/>
        <c:scaling>
          <c:orientation val="minMax"/>
        </c:scaling>
        <c:delete val="0"/>
        <c:axPos val="l"/>
        <c:title>
          <c:tx>
            <c:rich>
              <a:bodyPr/>
              <a:lstStyle/>
              <a:p>
                <a:pPr>
                  <a:defRPr/>
                </a:pPr>
                <a:r>
                  <a:rPr lang="ru-RU"/>
                  <a:t>человек</a:t>
                </a:r>
              </a:p>
            </c:rich>
          </c:tx>
          <c:layout>
            <c:manualLayout>
              <c:xMode val="edge"/>
              <c:yMode val="edge"/>
              <c:x val="1.4950166112956811E-2"/>
              <c:y val="0.3671875"/>
            </c:manualLayout>
          </c:layout>
          <c:overlay val="0"/>
        </c:title>
        <c:numFmt formatCode="General" sourceLinked="1"/>
        <c:majorTickMark val="cross"/>
        <c:minorTickMark val="none"/>
        <c:tickLblPos val="nextTo"/>
        <c:txPr>
          <a:bodyPr rot="0" vert="horz"/>
          <a:lstStyle/>
          <a:p>
            <a:pPr>
              <a:defRPr/>
            </a:pPr>
            <a:endParaRPr lang="ru-RU"/>
          </a:p>
        </c:txPr>
        <c:crossAx val="665564728"/>
        <c:crosses val="autoZero"/>
        <c:crossBetween val="between"/>
      </c:valAx>
      <c:catAx>
        <c:axId val="665565512"/>
        <c:scaling>
          <c:orientation val="minMax"/>
        </c:scaling>
        <c:delete val="1"/>
        <c:axPos val="b"/>
        <c:numFmt formatCode="General" sourceLinked="1"/>
        <c:majorTickMark val="out"/>
        <c:minorTickMark val="none"/>
        <c:tickLblPos val="nextTo"/>
        <c:crossAx val="665565904"/>
        <c:crosses val="autoZero"/>
        <c:auto val="0"/>
        <c:lblAlgn val="ctr"/>
        <c:lblOffset val="100"/>
        <c:noMultiLvlLbl val="0"/>
      </c:catAx>
      <c:valAx>
        <c:axId val="665565904"/>
        <c:scaling>
          <c:orientation val="minMax"/>
        </c:scaling>
        <c:delete val="0"/>
        <c:axPos val="r"/>
        <c:title>
          <c:tx>
            <c:rich>
              <a:bodyPr/>
              <a:lstStyle/>
              <a:p>
                <a:pPr>
                  <a:defRPr/>
                </a:pPr>
                <a:r>
                  <a:rPr lang="ru-RU"/>
                  <a:t>%</a:t>
                </a:r>
              </a:p>
            </c:rich>
          </c:tx>
          <c:layout>
            <c:manualLayout>
              <c:xMode val="edge"/>
              <c:yMode val="edge"/>
              <c:x val="0.96713845551914701"/>
              <c:y val="0.42160732479134194"/>
            </c:manualLayout>
          </c:layout>
          <c:overlay val="0"/>
        </c:title>
        <c:numFmt formatCode="0.0" sourceLinked="1"/>
        <c:majorTickMark val="cross"/>
        <c:minorTickMark val="none"/>
        <c:tickLblPos val="nextTo"/>
        <c:txPr>
          <a:bodyPr rot="0" vert="horz"/>
          <a:lstStyle/>
          <a:p>
            <a:pPr>
              <a:defRPr/>
            </a:pPr>
            <a:endParaRPr lang="ru-RU"/>
          </a:p>
        </c:txPr>
        <c:crossAx val="665565512"/>
        <c:crosses val="max"/>
        <c:crossBetween val="between"/>
      </c:valAx>
    </c:plotArea>
    <c:legend>
      <c:legendPos val="b"/>
      <c:layout>
        <c:manualLayout>
          <c:xMode val="edge"/>
          <c:yMode val="edge"/>
          <c:x val="4.0252411587939872E-2"/>
          <c:y val="0.83560256892588747"/>
          <c:w val="0.93521594684385378"/>
          <c:h val="0.15104166666666666"/>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200"/>
            </a:pPr>
            <a:r>
              <a:rPr lang="ru-RU" sz="1200"/>
              <a:t>Оборот малых и средних предприятий (млн. рублей)</a:t>
            </a:r>
          </a:p>
          <a:p>
            <a:pPr>
              <a:defRPr sz="1200"/>
            </a:pPr>
            <a:endParaRPr lang="ru-RU" sz="1200"/>
          </a:p>
        </c:rich>
      </c:tx>
      <c:layout>
        <c:manualLayout>
          <c:xMode val="edge"/>
          <c:yMode val="edge"/>
          <c:x val="0.14837486382503412"/>
          <c:y val="5.9087655365393362E-4"/>
        </c:manualLayout>
      </c:layout>
      <c:overlay val="0"/>
    </c:title>
    <c:autoTitleDeleted val="0"/>
    <c:view3D>
      <c:rotX val="0"/>
      <c:rotY val="0"/>
      <c:rAngAx val="0"/>
    </c:view3D>
    <c:floor>
      <c:thickness val="0"/>
    </c:floor>
    <c:sideWall>
      <c:thickness val="0"/>
    </c:sideWall>
    <c:backWall>
      <c:thickness val="0"/>
    </c:backWall>
    <c:plotArea>
      <c:layout>
        <c:manualLayout>
          <c:layoutTarget val="inner"/>
          <c:xMode val="edge"/>
          <c:yMode val="edge"/>
          <c:x val="0.11295681063122924"/>
          <c:y val="0.12760416666666666"/>
          <c:w val="0.79734219269102991"/>
          <c:h val="0.59895833333333337"/>
        </c:manualLayout>
      </c:layout>
      <c:bar3DChart>
        <c:barDir val="col"/>
        <c:grouping val="stacked"/>
        <c:varyColors val="0"/>
        <c:ser>
          <c:idx val="1"/>
          <c:order val="0"/>
          <c:tx>
            <c:strRef>
              <c:f>Sheet1!$A$2</c:f>
              <c:strCache>
                <c:ptCount val="1"/>
                <c:pt idx="0">
                  <c:v>оборот малых и средних организаций</c:v>
                </c:pt>
              </c:strCache>
            </c:strRef>
          </c:tx>
          <c:spPr>
            <a:solidFill>
              <a:schemeClr val="accent2">
                <a:lumMod val="40000"/>
                <a:lumOff val="60000"/>
              </a:schemeClr>
            </a:solidFill>
          </c:spPr>
          <c:invertIfNegative val="0"/>
          <c:dLbls>
            <c:dLbl>
              <c:idx val="0"/>
              <c:layout>
                <c:manualLayout>
                  <c:x val="-4.6292191703098144E-3"/>
                  <c:y val="-0.2240060994946326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205770469584012E-3"/>
                  <c:y val="-0.22266489416095719"/>
                </c:manualLayout>
              </c:layout>
              <c:spPr>
                <a:noFill/>
                <a:ln>
                  <a:noFill/>
                </a:ln>
                <a:effectLst/>
              </c:spPr>
              <c:txPr>
                <a:bodyPr wrap="square" lIns="38100" tIns="19050" rIns="38100" bIns="19050" anchor="ctr">
                  <a:no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manualLayout>
                      <c:w val="9.8219868434594362E-2"/>
                      <c:h val="6.1215139251952586E-2"/>
                    </c:manualLayout>
                  </c15:layout>
                </c:ext>
              </c:extLst>
            </c:dLbl>
            <c:dLbl>
              <c:idx val="2"/>
              <c:layout>
                <c:manualLayout>
                  <c:x val="-5.2777772305608074E-3"/>
                  <c:y val="-0.2391651869962535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2035936401119742E-3"/>
                  <c:y val="-0.2577508389963651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2551598738425735E-3"/>
                  <c:y val="-0.28159116474077106"/>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2727372919755137E-3"/>
                  <c:y val="-0.2924051845704376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год-отчет</c:v>
                </c:pt>
                <c:pt idx="1">
                  <c:v>2015 год-оценка</c:v>
                </c:pt>
                <c:pt idx="2">
                  <c:v>2016 год-прогноз</c:v>
                </c:pt>
                <c:pt idx="3">
                  <c:v>2017 год-прогноз</c:v>
                </c:pt>
                <c:pt idx="4">
                  <c:v>2018 год-прогноз</c:v>
                </c:pt>
              </c:strCache>
            </c:strRef>
          </c:cat>
          <c:val>
            <c:numRef>
              <c:f>Sheet1!$B$2:$F$2</c:f>
              <c:numCache>
                <c:formatCode>#,##0.0</c:formatCode>
                <c:ptCount val="5"/>
                <c:pt idx="0">
                  <c:v>6345</c:v>
                </c:pt>
                <c:pt idx="1">
                  <c:v>6596</c:v>
                </c:pt>
                <c:pt idx="2">
                  <c:v>7249.3</c:v>
                </c:pt>
                <c:pt idx="3">
                  <c:v>8202</c:v>
                </c:pt>
                <c:pt idx="4">
                  <c:v>9267.9</c:v>
                </c:pt>
              </c:numCache>
            </c:numRef>
          </c:val>
        </c:ser>
        <c:ser>
          <c:idx val="2"/>
          <c:order val="1"/>
          <c:tx>
            <c:strRef>
              <c:f>Sheet1!$A$3</c:f>
              <c:strCache>
                <c:ptCount val="1"/>
              </c:strCache>
            </c:strRef>
          </c:tx>
          <c:spPr>
            <a:solidFill>
              <a:schemeClr val="tx2">
                <a:lumMod val="60000"/>
                <a:lumOff val="40000"/>
              </a:schemeClr>
            </a:solidFill>
          </c:spPr>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год-отчет</c:v>
                </c:pt>
                <c:pt idx="1">
                  <c:v>2015 год-оценка</c:v>
                </c:pt>
                <c:pt idx="2">
                  <c:v>2016 год-прогноз</c:v>
                </c:pt>
                <c:pt idx="3">
                  <c:v>2017 год-прогноз</c:v>
                </c:pt>
                <c:pt idx="4">
                  <c:v>2018 год-прогноз</c:v>
                </c:pt>
              </c:strCache>
            </c:strRef>
          </c:cat>
          <c:val>
            <c:numRef>
              <c:f>Sheet1!$B$3:$F$3</c:f>
              <c:numCache>
                <c:formatCode>General</c:formatCode>
                <c:ptCount val="5"/>
              </c:numCache>
            </c:numRef>
          </c:val>
        </c:ser>
        <c:dLbls>
          <c:showLegendKey val="0"/>
          <c:showVal val="0"/>
          <c:showCatName val="0"/>
          <c:showSerName val="0"/>
          <c:showPercent val="0"/>
          <c:showBubbleSize val="0"/>
        </c:dLbls>
        <c:gapWidth val="150"/>
        <c:shape val="box"/>
        <c:axId val="118489040"/>
        <c:axId val="118489432"/>
        <c:axId val="0"/>
      </c:bar3DChart>
      <c:catAx>
        <c:axId val="118489040"/>
        <c:scaling>
          <c:orientation val="minMax"/>
        </c:scaling>
        <c:delete val="0"/>
        <c:axPos val="b"/>
        <c:numFmt formatCode="General" sourceLinked="1"/>
        <c:majorTickMark val="cross"/>
        <c:minorTickMark val="none"/>
        <c:tickLblPos val="nextTo"/>
        <c:txPr>
          <a:bodyPr rot="0" vert="horz"/>
          <a:lstStyle/>
          <a:p>
            <a:pPr>
              <a:defRPr/>
            </a:pPr>
            <a:endParaRPr lang="ru-RU"/>
          </a:p>
        </c:txPr>
        <c:crossAx val="118489432"/>
        <c:crosses val="autoZero"/>
        <c:auto val="0"/>
        <c:lblAlgn val="ctr"/>
        <c:lblOffset val="100"/>
        <c:noMultiLvlLbl val="0"/>
      </c:catAx>
      <c:valAx>
        <c:axId val="118489432"/>
        <c:scaling>
          <c:orientation val="minMax"/>
        </c:scaling>
        <c:delete val="0"/>
        <c:axPos val="l"/>
        <c:numFmt formatCode="#,##0.0" sourceLinked="1"/>
        <c:majorTickMark val="cross"/>
        <c:minorTickMark val="none"/>
        <c:tickLblPos val="nextTo"/>
        <c:txPr>
          <a:bodyPr rot="0" vert="horz"/>
          <a:lstStyle/>
          <a:p>
            <a:pPr>
              <a:defRPr/>
            </a:pPr>
            <a:endParaRPr lang="ru-RU"/>
          </a:p>
        </c:txPr>
        <c:crossAx val="118489040"/>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400"/>
            </a:pPr>
            <a:r>
              <a:rPr lang="ru-RU" sz="1400"/>
              <a:t>Динамика</a:t>
            </a:r>
            <a:r>
              <a:rPr lang="ru-RU" sz="1400" baseline="0"/>
              <a:t> о</a:t>
            </a:r>
            <a:r>
              <a:rPr lang="ru-RU" sz="1400"/>
              <a:t>бъёма инвестиций в основной капитал по второму варианту развития</a:t>
            </a:r>
          </a:p>
        </c:rich>
      </c:tx>
      <c:layout>
        <c:manualLayout>
          <c:xMode val="edge"/>
          <c:yMode val="edge"/>
          <c:x val="0.13586240786240789"/>
          <c:y val="7.1771546267888177E-3"/>
        </c:manualLayout>
      </c:layout>
      <c:overlay val="0"/>
    </c:title>
    <c:autoTitleDeleted val="0"/>
    <c:plotArea>
      <c:layout>
        <c:manualLayout>
          <c:layoutTarget val="inner"/>
          <c:xMode val="edge"/>
          <c:yMode val="edge"/>
          <c:x val="0.12146422628951747"/>
          <c:y val="8.8516746411483258E-2"/>
          <c:w val="0.82514945262042549"/>
          <c:h val="0.74153569729958246"/>
        </c:manualLayout>
      </c:layout>
      <c:barChart>
        <c:barDir val="col"/>
        <c:grouping val="clustered"/>
        <c:varyColors val="0"/>
        <c:ser>
          <c:idx val="1"/>
          <c:order val="0"/>
          <c:tx>
            <c:strRef>
              <c:f>Sheet1!$A$2</c:f>
              <c:strCache>
                <c:ptCount val="1"/>
                <c:pt idx="0">
                  <c:v>млн. рублей</c:v>
                </c:pt>
              </c:strCache>
            </c:strRef>
          </c:tx>
          <c:spPr>
            <a:solidFill>
              <a:srgbClr val="66CCFF"/>
            </a:solidFill>
          </c:spPr>
          <c:invertIfNegative val="0"/>
          <c:dLbls>
            <c:dLbl>
              <c:idx val="0"/>
              <c:layout>
                <c:manualLayout>
                  <c:x val="-2.1301497559338212E-3"/>
                  <c:y val="0.1583683387891120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8216598117839276E-3"/>
                  <c:y val="0.3149460025361998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295754825716123E-3"/>
                  <c:y val="0.3233791618744286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3046237094015018E-4"/>
                  <c:y val="0.3303752985932938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3430353178117759E-3"/>
                  <c:y val="0.3761462738506001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5396996792966364E-3"/>
                  <c:y val="0.41506148810050431"/>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2013 год-отчет</c:v>
                </c:pt>
                <c:pt idx="1">
                  <c:v>2014 год-отчёт</c:v>
                </c:pt>
                <c:pt idx="2">
                  <c:v>2015 год-оценка</c:v>
                </c:pt>
                <c:pt idx="3">
                  <c:v>2016 год-прогноз</c:v>
                </c:pt>
                <c:pt idx="4">
                  <c:v>2017 год-прогноз</c:v>
                </c:pt>
                <c:pt idx="5">
                  <c:v>2018 год - прогноз</c:v>
                </c:pt>
              </c:strCache>
            </c:strRef>
          </c:cat>
          <c:val>
            <c:numRef>
              <c:f>Sheet1!$B$2:$G$2</c:f>
              <c:numCache>
                <c:formatCode>#,##0.0</c:formatCode>
                <c:ptCount val="6"/>
                <c:pt idx="0">
                  <c:v>13691.95</c:v>
                </c:pt>
                <c:pt idx="1">
                  <c:v>18408.580000000002</c:v>
                </c:pt>
                <c:pt idx="2">
                  <c:v>19137.150000000001</c:v>
                </c:pt>
                <c:pt idx="3">
                  <c:v>19930.45</c:v>
                </c:pt>
                <c:pt idx="4">
                  <c:v>20998.39</c:v>
                </c:pt>
                <c:pt idx="5">
                  <c:v>22423.31</c:v>
                </c:pt>
              </c:numCache>
            </c:numRef>
          </c:val>
        </c:ser>
        <c:dLbls>
          <c:showLegendKey val="0"/>
          <c:showVal val="0"/>
          <c:showCatName val="0"/>
          <c:showSerName val="0"/>
          <c:showPercent val="0"/>
          <c:showBubbleSize val="0"/>
        </c:dLbls>
        <c:gapWidth val="150"/>
        <c:axId val="280412808"/>
        <c:axId val="280412416"/>
      </c:barChart>
      <c:lineChart>
        <c:grouping val="standard"/>
        <c:varyColors val="0"/>
        <c:ser>
          <c:idx val="0"/>
          <c:order val="1"/>
          <c:tx>
            <c:strRef>
              <c:f>Sheet1!$A$3</c:f>
              <c:strCache>
                <c:ptCount val="1"/>
                <c:pt idx="0">
                  <c:v>в % к предыдущему году в сопоставимых ценах</c:v>
                </c:pt>
              </c:strCache>
            </c:strRef>
          </c:tx>
          <c:spPr>
            <a:ln w="44450">
              <a:solidFill>
                <a:srgbClr val="66CCFF"/>
              </a:solidFill>
            </a:ln>
          </c:spPr>
          <c:marker>
            <c:spPr>
              <a:solidFill>
                <a:srgbClr val="0000CC"/>
              </a:solidFill>
            </c:spPr>
          </c:marker>
          <c:dLbls>
            <c:dLbl>
              <c:idx val="0"/>
              <c:layout>
                <c:manualLayout>
                  <c:x val="-1.4397275841290255E-5"/>
                  <c:y val="7.6234627974873931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4804201092737061E-3"/>
                  <c:y val="1.4563685157332861E-3"/>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7.4440548552386271E-2"/>
                  <c:y val="3.3515585832669791E-3"/>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5242104752314284E-2"/>
                  <c:y val="-3.77851307912353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3634341547060084E-2"/>
                  <c:y val="-3.7921023916954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7070073482725292E-2"/>
                  <c:y val="-5.457642513786900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2013 год-отчет</c:v>
                </c:pt>
                <c:pt idx="1">
                  <c:v>2014 год-отчёт</c:v>
                </c:pt>
                <c:pt idx="2">
                  <c:v>2015 год-оценка</c:v>
                </c:pt>
                <c:pt idx="3">
                  <c:v>2016 год-прогноз</c:v>
                </c:pt>
                <c:pt idx="4">
                  <c:v>2017 год-прогноз</c:v>
                </c:pt>
                <c:pt idx="5">
                  <c:v>2018 год - прогноз</c:v>
                </c:pt>
              </c:strCache>
            </c:strRef>
          </c:cat>
          <c:val>
            <c:numRef>
              <c:f>Sheet1!$B$3:$G$3</c:f>
              <c:numCache>
                <c:formatCode>General</c:formatCode>
                <c:ptCount val="6"/>
                <c:pt idx="0">
                  <c:v>63.7</c:v>
                </c:pt>
                <c:pt idx="1">
                  <c:v>126.1</c:v>
                </c:pt>
                <c:pt idx="2">
                  <c:v>101.9</c:v>
                </c:pt>
                <c:pt idx="3">
                  <c:v>100.6</c:v>
                </c:pt>
                <c:pt idx="4">
                  <c:v>101.3</c:v>
                </c:pt>
                <c:pt idx="5">
                  <c:v>101.7</c:v>
                </c:pt>
              </c:numCache>
            </c:numRef>
          </c:val>
          <c:smooth val="0"/>
        </c:ser>
        <c:dLbls>
          <c:showLegendKey val="0"/>
          <c:showVal val="0"/>
          <c:showCatName val="0"/>
          <c:showSerName val="0"/>
          <c:showPercent val="0"/>
          <c:showBubbleSize val="0"/>
        </c:dLbls>
        <c:marker val="1"/>
        <c:smooth val="0"/>
        <c:axId val="280412024"/>
        <c:axId val="280411632"/>
      </c:lineChart>
      <c:catAx>
        <c:axId val="280412808"/>
        <c:scaling>
          <c:orientation val="minMax"/>
        </c:scaling>
        <c:delete val="0"/>
        <c:axPos val="b"/>
        <c:numFmt formatCode="General" sourceLinked="1"/>
        <c:majorTickMark val="cross"/>
        <c:minorTickMark val="none"/>
        <c:tickLblPos val="nextTo"/>
        <c:txPr>
          <a:bodyPr rot="0" vert="horz"/>
          <a:lstStyle/>
          <a:p>
            <a:pPr>
              <a:defRPr/>
            </a:pPr>
            <a:endParaRPr lang="ru-RU"/>
          </a:p>
        </c:txPr>
        <c:crossAx val="280412416"/>
        <c:crossesAt val="1000"/>
        <c:auto val="0"/>
        <c:lblAlgn val="ctr"/>
        <c:lblOffset val="100"/>
        <c:tickLblSkip val="1"/>
        <c:tickMarkSkip val="1"/>
        <c:noMultiLvlLbl val="0"/>
      </c:catAx>
      <c:valAx>
        <c:axId val="280412416"/>
        <c:scaling>
          <c:orientation val="minMax"/>
          <c:max val="31500"/>
          <c:min val="1000"/>
        </c:scaling>
        <c:delete val="0"/>
        <c:axPos val="l"/>
        <c:title>
          <c:tx>
            <c:rich>
              <a:bodyPr/>
              <a:lstStyle/>
              <a:p>
                <a:pPr>
                  <a:defRPr/>
                </a:pPr>
                <a:r>
                  <a:rPr lang="ru-RU"/>
                  <a:t>млр. рублей</a:t>
                </a:r>
              </a:p>
            </c:rich>
          </c:tx>
          <c:layout>
            <c:manualLayout>
              <c:xMode val="edge"/>
              <c:yMode val="edge"/>
              <c:x val="1.1647254575707155E-2"/>
              <c:y val="0.35167464114832536"/>
            </c:manualLayout>
          </c:layout>
          <c:overlay val="0"/>
        </c:title>
        <c:numFmt formatCode="#,##0.0" sourceLinked="1"/>
        <c:majorTickMark val="cross"/>
        <c:minorTickMark val="none"/>
        <c:tickLblPos val="nextTo"/>
        <c:txPr>
          <a:bodyPr rot="0" vert="horz"/>
          <a:lstStyle/>
          <a:p>
            <a:pPr>
              <a:defRPr/>
            </a:pPr>
            <a:endParaRPr lang="ru-RU"/>
          </a:p>
        </c:txPr>
        <c:crossAx val="280412808"/>
        <c:crosses val="autoZero"/>
        <c:crossBetween val="between"/>
        <c:majorUnit val="2000"/>
        <c:minorUnit val="2000"/>
      </c:valAx>
      <c:catAx>
        <c:axId val="280412024"/>
        <c:scaling>
          <c:orientation val="minMax"/>
        </c:scaling>
        <c:delete val="1"/>
        <c:axPos val="b"/>
        <c:numFmt formatCode="General" sourceLinked="1"/>
        <c:majorTickMark val="out"/>
        <c:minorTickMark val="none"/>
        <c:tickLblPos val="nextTo"/>
        <c:crossAx val="280411632"/>
        <c:crosses val="autoZero"/>
        <c:auto val="0"/>
        <c:lblAlgn val="ctr"/>
        <c:lblOffset val="100"/>
        <c:noMultiLvlLbl val="0"/>
      </c:catAx>
      <c:valAx>
        <c:axId val="280411632"/>
        <c:scaling>
          <c:orientation val="minMax"/>
          <c:max val="145"/>
        </c:scaling>
        <c:delete val="0"/>
        <c:axPos val="r"/>
        <c:title>
          <c:tx>
            <c:rich>
              <a:bodyPr/>
              <a:lstStyle/>
              <a:p>
                <a:pPr>
                  <a:defRPr/>
                </a:pPr>
                <a:r>
                  <a:rPr lang="ru-RU"/>
                  <a:t>%</a:t>
                </a:r>
              </a:p>
            </c:rich>
          </c:tx>
          <c:layout>
            <c:manualLayout>
              <c:xMode val="edge"/>
              <c:yMode val="edge"/>
              <c:x val="0.94509151414309489"/>
              <c:y val="0.42344497607655501"/>
            </c:manualLayout>
          </c:layout>
          <c:overlay val="0"/>
        </c:title>
        <c:numFmt formatCode="General" sourceLinked="1"/>
        <c:majorTickMark val="cross"/>
        <c:minorTickMark val="none"/>
        <c:tickLblPos val="nextTo"/>
        <c:txPr>
          <a:bodyPr rot="0" vert="horz"/>
          <a:lstStyle/>
          <a:p>
            <a:pPr>
              <a:defRPr/>
            </a:pPr>
            <a:endParaRPr lang="ru-RU"/>
          </a:p>
        </c:txPr>
        <c:crossAx val="280412024"/>
        <c:crosses val="max"/>
        <c:crossBetween val="between"/>
      </c:valAx>
    </c:plotArea>
    <c:legend>
      <c:legendPos val="b"/>
      <c:layout>
        <c:manualLayout>
          <c:xMode val="edge"/>
          <c:yMode val="edge"/>
          <c:x val="5.9017345482045867E-2"/>
          <c:y val="0.93394013388775843"/>
          <c:w val="0.89018302828618967"/>
          <c:h val="5.2631578947368418E-2"/>
        </c:manualLayout>
      </c:layout>
      <c:overlay val="0"/>
      <c:spPr>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sz="1400"/>
            </a:pPr>
            <a:r>
              <a:rPr lang="ru-RU" sz="1300"/>
              <a:t>Динамика оборота розничной торговли (млн. рублей)</a:t>
            </a:r>
          </a:p>
        </c:rich>
      </c:tx>
      <c:layout>
        <c:manualLayout>
          <c:xMode val="edge"/>
          <c:yMode val="edge"/>
          <c:x val="0.27121467075995598"/>
          <c:y val="4.0875601209747263E-4"/>
        </c:manualLayout>
      </c:layout>
      <c:overlay val="0"/>
    </c:title>
    <c:autoTitleDeleted val="0"/>
    <c:plotArea>
      <c:layout>
        <c:manualLayout>
          <c:layoutTarget val="inner"/>
          <c:xMode val="edge"/>
          <c:yMode val="edge"/>
          <c:x val="0.12146422628951747"/>
          <c:y val="8.8516746411483258E-2"/>
          <c:w val="0.82514945262042549"/>
          <c:h val="0.74153569729958246"/>
        </c:manualLayout>
      </c:layout>
      <c:barChart>
        <c:barDir val="col"/>
        <c:grouping val="clustered"/>
        <c:varyColors val="0"/>
        <c:ser>
          <c:idx val="1"/>
          <c:order val="0"/>
          <c:tx>
            <c:strRef>
              <c:f>Sheet1!$A$2</c:f>
              <c:strCache>
                <c:ptCount val="1"/>
                <c:pt idx="0">
                  <c:v>млн. рублей</c:v>
                </c:pt>
              </c:strCache>
            </c:strRef>
          </c:tx>
          <c:spPr>
            <a:solidFill>
              <a:srgbClr val="00B050"/>
            </a:solidFill>
            <a:ln>
              <a:noFill/>
            </a:ln>
          </c:spPr>
          <c:invertIfNegative val="0"/>
          <c:dLbls>
            <c:dLbl>
              <c:idx val="0"/>
              <c:layout>
                <c:manualLayout>
                  <c:x val="-6.239009186351706E-3"/>
                  <c:y val="-2.140698855596070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5964855942762455E-2"/>
                  <c:y val="-4.8496476011564548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692493780854881E-3"/>
                  <c:y val="-1.025715535558055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3039313605507405E-4"/>
                  <c:y val="-2.318258692509125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3428325262187456E-3"/>
                  <c:y val="-1.636304244827579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2084127003384978E-2"/>
                  <c:y val="1.056705660136853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год-отчет</c:v>
                </c:pt>
                <c:pt idx="1">
                  <c:v>2015 год-оценка</c:v>
                </c:pt>
                <c:pt idx="2">
                  <c:v>2016 год-прогноз</c:v>
                </c:pt>
                <c:pt idx="3">
                  <c:v>2017 год - прогноз</c:v>
                </c:pt>
                <c:pt idx="4">
                  <c:v>2018 год-прогноз</c:v>
                </c:pt>
              </c:strCache>
            </c:strRef>
          </c:cat>
          <c:val>
            <c:numRef>
              <c:f>Sheet1!$B$2:$F$2</c:f>
              <c:numCache>
                <c:formatCode>#,##0.0</c:formatCode>
                <c:ptCount val="5"/>
                <c:pt idx="0">
                  <c:v>12024.38</c:v>
                </c:pt>
                <c:pt idx="1">
                  <c:v>12060.45</c:v>
                </c:pt>
                <c:pt idx="2">
                  <c:v>12481.31</c:v>
                </c:pt>
                <c:pt idx="3">
                  <c:v>13105.37</c:v>
                </c:pt>
                <c:pt idx="4">
                  <c:v>14062.06</c:v>
                </c:pt>
              </c:numCache>
            </c:numRef>
          </c:val>
        </c:ser>
        <c:dLbls>
          <c:showLegendKey val="0"/>
          <c:showVal val="0"/>
          <c:showCatName val="0"/>
          <c:showSerName val="0"/>
          <c:showPercent val="0"/>
          <c:showBubbleSize val="0"/>
        </c:dLbls>
        <c:gapWidth val="150"/>
        <c:axId val="663315208"/>
        <c:axId val="475355024"/>
      </c:barChart>
      <c:lineChart>
        <c:grouping val="standard"/>
        <c:varyColors val="0"/>
        <c:ser>
          <c:idx val="0"/>
          <c:order val="1"/>
          <c:tx>
            <c:strRef>
              <c:f>Sheet1!$A$3</c:f>
              <c:strCache>
                <c:ptCount val="1"/>
                <c:pt idx="0">
                  <c:v>в % к предыдущему году в сопоставимых ценах</c:v>
                </c:pt>
              </c:strCache>
            </c:strRef>
          </c:tx>
          <c:spPr>
            <a:ln w="50800">
              <a:solidFill>
                <a:srgbClr val="00B050"/>
              </a:solidFill>
            </a:ln>
          </c:spPr>
          <c:marker>
            <c:spPr>
              <a:solidFill>
                <a:srgbClr val="66FF33"/>
              </a:solidFill>
              <a:ln w="6350"/>
            </c:spPr>
          </c:marker>
          <c:dLbls>
            <c:dLbl>
              <c:idx val="0"/>
              <c:layout>
                <c:manualLayout>
                  <c:x val="-5.9593236515697499E-2"/>
                  <c:y val="4.050181227346581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4989616917787402E-2"/>
                  <c:y val="4.605033507867354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5133922974574251E-2"/>
                  <c:y val="-5.34167604049494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1.7378644310447327E-3"/>
                  <c:y val="-3.778507818972956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9.2532424201982461E-3"/>
                  <c:y val="-3.79211207870539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3233401679951794E-2"/>
                  <c:y val="-5.757267096579812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год-отчет</c:v>
                </c:pt>
                <c:pt idx="1">
                  <c:v>2015 год-оценка</c:v>
                </c:pt>
                <c:pt idx="2">
                  <c:v>2016 год-прогноз</c:v>
                </c:pt>
                <c:pt idx="3">
                  <c:v>2017 год - прогноз</c:v>
                </c:pt>
                <c:pt idx="4">
                  <c:v>2018 год-прогноз</c:v>
                </c:pt>
              </c:strCache>
            </c:strRef>
          </c:cat>
          <c:val>
            <c:numRef>
              <c:f>Sheet1!$B$3:$F$3</c:f>
              <c:numCache>
                <c:formatCode>General</c:formatCode>
                <c:ptCount val="5"/>
                <c:pt idx="0">
                  <c:v>97.2</c:v>
                </c:pt>
                <c:pt idx="1">
                  <c:v>95.9</c:v>
                </c:pt>
                <c:pt idx="2" formatCode="0.0">
                  <c:v>100</c:v>
                </c:pt>
                <c:pt idx="3">
                  <c:v>101.5</c:v>
                </c:pt>
                <c:pt idx="4" formatCode="0.0">
                  <c:v>104</c:v>
                </c:pt>
              </c:numCache>
            </c:numRef>
          </c:val>
          <c:smooth val="0"/>
        </c:ser>
        <c:dLbls>
          <c:showLegendKey val="0"/>
          <c:showVal val="0"/>
          <c:showCatName val="0"/>
          <c:showSerName val="0"/>
          <c:showPercent val="0"/>
          <c:showBubbleSize val="0"/>
        </c:dLbls>
        <c:marker val="1"/>
        <c:smooth val="0"/>
        <c:axId val="118603520"/>
        <c:axId val="118603912"/>
      </c:lineChart>
      <c:catAx>
        <c:axId val="663315208"/>
        <c:scaling>
          <c:orientation val="minMax"/>
        </c:scaling>
        <c:delete val="0"/>
        <c:axPos val="b"/>
        <c:numFmt formatCode="General" sourceLinked="1"/>
        <c:majorTickMark val="cross"/>
        <c:minorTickMark val="none"/>
        <c:tickLblPos val="nextTo"/>
        <c:txPr>
          <a:bodyPr rot="0" vert="horz"/>
          <a:lstStyle/>
          <a:p>
            <a:pPr>
              <a:defRPr/>
            </a:pPr>
            <a:endParaRPr lang="ru-RU"/>
          </a:p>
        </c:txPr>
        <c:crossAx val="475355024"/>
        <c:crossesAt val="1000"/>
        <c:auto val="0"/>
        <c:lblAlgn val="ctr"/>
        <c:lblOffset val="100"/>
        <c:tickLblSkip val="1"/>
        <c:tickMarkSkip val="1"/>
        <c:noMultiLvlLbl val="0"/>
      </c:catAx>
      <c:valAx>
        <c:axId val="475355024"/>
        <c:scaling>
          <c:orientation val="minMax"/>
          <c:max val="18000"/>
          <c:min val="1000"/>
        </c:scaling>
        <c:delete val="0"/>
        <c:axPos val="l"/>
        <c:title>
          <c:tx>
            <c:rich>
              <a:bodyPr/>
              <a:lstStyle/>
              <a:p>
                <a:pPr>
                  <a:defRPr/>
                </a:pPr>
                <a:r>
                  <a:rPr lang="ru-RU"/>
                  <a:t>млр. рублей</a:t>
                </a:r>
              </a:p>
            </c:rich>
          </c:tx>
          <c:layout>
            <c:manualLayout>
              <c:xMode val="edge"/>
              <c:yMode val="edge"/>
              <c:x val="1.1647254575707155E-2"/>
              <c:y val="0.35167464114832536"/>
            </c:manualLayout>
          </c:layout>
          <c:overlay val="0"/>
        </c:title>
        <c:numFmt formatCode="#,##0.0" sourceLinked="1"/>
        <c:majorTickMark val="cross"/>
        <c:minorTickMark val="none"/>
        <c:tickLblPos val="nextTo"/>
        <c:txPr>
          <a:bodyPr rot="0" vert="horz"/>
          <a:lstStyle/>
          <a:p>
            <a:pPr>
              <a:defRPr/>
            </a:pPr>
            <a:endParaRPr lang="ru-RU"/>
          </a:p>
        </c:txPr>
        <c:crossAx val="663315208"/>
        <c:crosses val="autoZero"/>
        <c:crossBetween val="between"/>
        <c:majorUnit val="2000"/>
        <c:minorUnit val="1000"/>
      </c:valAx>
      <c:catAx>
        <c:axId val="118603520"/>
        <c:scaling>
          <c:orientation val="minMax"/>
        </c:scaling>
        <c:delete val="1"/>
        <c:axPos val="b"/>
        <c:numFmt formatCode="General" sourceLinked="1"/>
        <c:majorTickMark val="out"/>
        <c:minorTickMark val="none"/>
        <c:tickLblPos val="nextTo"/>
        <c:crossAx val="118603912"/>
        <c:crosses val="autoZero"/>
        <c:auto val="0"/>
        <c:lblAlgn val="ctr"/>
        <c:lblOffset val="100"/>
        <c:noMultiLvlLbl val="0"/>
      </c:catAx>
      <c:valAx>
        <c:axId val="118603912"/>
        <c:scaling>
          <c:orientation val="minMax"/>
          <c:max val="110"/>
          <c:min val="20"/>
        </c:scaling>
        <c:delete val="0"/>
        <c:axPos val="r"/>
        <c:title>
          <c:tx>
            <c:rich>
              <a:bodyPr/>
              <a:lstStyle/>
              <a:p>
                <a:pPr>
                  <a:defRPr/>
                </a:pPr>
                <a:r>
                  <a:rPr lang="ru-RU"/>
                  <a:t>%</a:t>
                </a:r>
              </a:p>
            </c:rich>
          </c:tx>
          <c:layout>
            <c:manualLayout>
              <c:xMode val="edge"/>
              <c:yMode val="edge"/>
              <c:x val="0.94509151414309489"/>
              <c:y val="0.42344497607655501"/>
            </c:manualLayout>
          </c:layout>
          <c:overlay val="0"/>
        </c:title>
        <c:numFmt formatCode="General" sourceLinked="1"/>
        <c:majorTickMark val="cross"/>
        <c:minorTickMark val="none"/>
        <c:tickLblPos val="nextTo"/>
        <c:txPr>
          <a:bodyPr rot="0" vert="horz"/>
          <a:lstStyle/>
          <a:p>
            <a:pPr>
              <a:defRPr/>
            </a:pPr>
            <a:endParaRPr lang="ru-RU"/>
          </a:p>
        </c:txPr>
        <c:crossAx val="118603520"/>
        <c:crosses val="max"/>
        <c:crossBetween val="between"/>
      </c:valAx>
    </c:plotArea>
    <c:legend>
      <c:legendPos val="b"/>
      <c:layout>
        <c:manualLayout>
          <c:xMode val="edge"/>
          <c:yMode val="edge"/>
          <c:x val="4.8383193536370758E-2"/>
          <c:y val="0.90997002794005588"/>
          <c:w val="0.89018302828618967"/>
          <c:h val="8.9856509053119607E-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200"/>
            </a:pPr>
            <a:r>
              <a:rPr lang="ru-RU" sz="1200"/>
              <a:t>Динамика оборота общественного питания (млн. рублей)</a:t>
            </a:r>
          </a:p>
        </c:rich>
      </c:tx>
      <c:layout>
        <c:manualLayout>
          <c:xMode val="edge"/>
          <c:yMode val="edge"/>
          <c:x val="0.27121467075995598"/>
          <c:y val="4.0875601209747263E-4"/>
        </c:manualLayout>
      </c:layout>
      <c:overlay val="0"/>
    </c:title>
    <c:autoTitleDeleted val="0"/>
    <c:plotArea>
      <c:layout>
        <c:manualLayout>
          <c:layoutTarget val="inner"/>
          <c:xMode val="edge"/>
          <c:yMode val="edge"/>
          <c:x val="0.12146422628951747"/>
          <c:y val="8.8516746411483258E-2"/>
          <c:w val="0.82514945262042549"/>
          <c:h val="0.74153569729958246"/>
        </c:manualLayout>
      </c:layout>
      <c:barChart>
        <c:barDir val="col"/>
        <c:grouping val="clustered"/>
        <c:varyColors val="0"/>
        <c:ser>
          <c:idx val="1"/>
          <c:order val="0"/>
          <c:tx>
            <c:strRef>
              <c:f>Sheet1!$A$2</c:f>
              <c:strCache>
                <c:ptCount val="1"/>
                <c:pt idx="0">
                  <c:v>млн. рублей</c:v>
                </c:pt>
              </c:strCache>
            </c:strRef>
          </c:tx>
          <c:spPr>
            <a:ln>
              <a:noFill/>
            </a:ln>
          </c:spPr>
          <c:invertIfNegative val="0"/>
          <c:dLbls>
            <c:dLbl>
              <c:idx val="0"/>
              <c:layout>
                <c:manualLayout>
                  <c:x val="-6.239009186351706E-3"/>
                  <c:y val="-2.140698855596070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5964855942762455E-2"/>
                  <c:y val="-4.8496476011564548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8675889412680695E-3"/>
                  <c:y val="-2.6896783250931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6054899744383502E-3"/>
                  <c:y val="7.3246658121187683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342765881834102E-3"/>
                  <c:y val="7.384082809402732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3.3311496748045515E-4"/>
                  <c:y val="1.82600866752121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год-отчет</c:v>
                </c:pt>
                <c:pt idx="1">
                  <c:v>2015 год-оценка</c:v>
                </c:pt>
                <c:pt idx="2">
                  <c:v>2016 год-прогноз</c:v>
                </c:pt>
                <c:pt idx="3">
                  <c:v>2017 год - прогноз</c:v>
                </c:pt>
                <c:pt idx="4">
                  <c:v>2018 год-прогноз</c:v>
                </c:pt>
              </c:strCache>
            </c:strRef>
          </c:cat>
          <c:val>
            <c:numRef>
              <c:f>Sheet1!$B$2:$F$2</c:f>
              <c:numCache>
                <c:formatCode>#,##0.0</c:formatCode>
                <c:ptCount val="5"/>
                <c:pt idx="0">
                  <c:v>2773.5</c:v>
                </c:pt>
                <c:pt idx="1">
                  <c:v>1941.5</c:v>
                </c:pt>
                <c:pt idx="2">
                  <c:v>2096.8000000000002</c:v>
                </c:pt>
                <c:pt idx="3">
                  <c:v>2270.8000000000002</c:v>
                </c:pt>
                <c:pt idx="4">
                  <c:v>2438.8000000000002</c:v>
                </c:pt>
              </c:numCache>
            </c:numRef>
          </c:val>
        </c:ser>
        <c:dLbls>
          <c:showLegendKey val="0"/>
          <c:showVal val="0"/>
          <c:showCatName val="0"/>
          <c:showSerName val="0"/>
          <c:showPercent val="0"/>
          <c:showBubbleSize val="0"/>
        </c:dLbls>
        <c:gapWidth val="150"/>
        <c:axId val="118604696"/>
        <c:axId val="118605088"/>
      </c:barChart>
      <c:lineChart>
        <c:grouping val="standard"/>
        <c:varyColors val="0"/>
        <c:ser>
          <c:idx val="0"/>
          <c:order val="1"/>
          <c:tx>
            <c:strRef>
              <c:f>Sheet1!$A$3</c:f>
              <c:strCache>
                <c:ptCount val="1"/>
                <c:pt idx="0">
                  <c:v>в % к предыдущему году в сопоставимых ценах</c:v>
                </c:pt>
              </c:strCache>
            </c:strRef>
          </c:tx>
          <c:spPr>
            <a:ln w="57150"/>
          </c:spPr>
          <c:marker>
            <c:spPr>
              <a:solidFill>
                <a:srgbClr val="0000FF"/>
              </a:solidFill>
            </c:spPr>
          </c:marker>
          <c:dLbls>
            <c:dLbl>
              <c:idx val="0"/>
              <c:layout>
                <c:manualLayout>
                  <c:x val="-6.1768420872350176E-2"/>
                  <c:y val="4.7976866263810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4989616917787402E-2"/>
                  <c:y val="4.605033507867354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698509546013108E-2"/>
                  <c:y val="-8.38707806872978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1.7378496529694817E-3"/>
                  <c:y val="-4.941311115180371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9.2532424201982461E-3"/>
                  <c:y val="-3.79211207870539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3233401679951794E-2"/>
                  <c:y val="-5.757267096579812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год-отчет</c:v>
                </c:pt>
                <c:pt idx="1">
                  <c:v>2015 год-оценка</c:v>
                </c:pt>
                <c:pt idx="2">
                  <c:v>2016 год-прогноз</c:v>
                </c:pt>
                <c:pt idx="3">
                  <c:v>2017 год - прогноз</c:v>
                </c:pt>
                <c:pt idx="4">
                  <c:v>2018 год-прогноз</c:v>
                </c:pt>
              </c:strCache>
            </c:strRef>
          </c:cat>
          <c:val>
            <c:numRef>
              <c:f>Sheet1!$B$3:$F$3</c:f>
              <c:numCache>
                <c:formatCode>General</c:formatCode>
                <c:ptCount val="5"/>
                <c:pt idx="0">
                  <c:v>96.7</c:v>
                </c:pt>
                <c:pt idx="1">
                  <c:v>65.7</c:v>
                </c:pt>
                <c:pt idx="2" formatCode="0.0">
                  <c:v>101.4</c:v>
                </c:pt>
                <c:pt idx="3" formatCode="0.0">
                  <c:v>101.9</c:v>
                </c:pt>
                <c:pt idx="4">
                  <c:v>102.1</c:v>
                </c:pt>
              </c:numCache>
            </c:numRef>
          </c:val>
          <c:smooth val="0"/>
        </c:ser>
        <c:dLbls>
          <c:showLegendKey val="0"/>
          <c:showVal val="0"/>
          <c:showCatName val="0"/>
          <c:showSerName val="0"/>
          <c:showPercent val="0"/>
          <c:showBubbleSize val="0"/>
        </c:dLbls>
        <c:marker val="1"/>
        <c:smooth val="0"/>
        <c:axId val="188416536"/>
        <c:axId val="188416928"/>
      </c:lineChart>
      <c:catAx>
        <c:axId val="118604696"/>
        <c:scaling>
          <c:orientation val="minMax"/>
        </c:scaling>
        <c:delete val="0"/>
        <c:axPos val="b"/>
        <c:numFmt formatCode="General" sourceLinked="1"/>
        <c:majorTickMark val="cross"/>
        <c:minorTickMark val="none"/>
        <c:tickLblPos val="nextTo"/>
        <c:txPr>
          <a:bodyPr rot="0" vert="horz"/>
          <a:lstStyle/>
          <a:p>
            <a:pPr>
              <a:defRPr/>
            </a:pPr>
            <a:endParaRPr lang="ru-RU"/>
          </a:p>
        </c:txPr>
        <c:crossAx val="118605088"/>
        <c:crossesAt val="1000"/>
        <c:auto val="0"/>
        <c:lblAlgn val="ctr"/>
        <c:lblOffset val="100"/>
        <c:tickLblSkip val="1"/>
        <c:tickMarkSkip val="1"/>
        <c:noMultiLvlLbl val="0"/>
      </c:catAx>
      <c:valAx>
        <c:axId val="118605088"/>
        <c:scaling>
          <c:orientation val="minMax"/>
          <c:max val="4500"/>
          <c:min val="1500"/>
        </c:scaling>
        <c:delete val="0"/>
        <c:axPos val="l"/>
        <c:title>
          <c:tx>
            <c:rich>
              <a:bodyPr/>
              <a:lstStyle/>
              <a:p>
                <a:pPr>
                  <a:defRPr/>
                </a:pPr>
                <a:r>
                  <a:rPr lang="ru-RU"/>
                  <a:t>млр. рублей</a:t>
                </a:r>
              </a:p>
            </c:rich>
          </c:tx>
          <c:layout>
            <c:manualLayout>
              <c:xMode val="edge"/>
              <c:yMode val="edge"/>
              <c:x val="1.1647254575707155E-2"/>
              <c:y val="0.35167464114832536"/>
            </c:manualLayout>
          </c:layout>
          <c:overlay val="0"/>
        </c:title>
        <c:numFmt formatCode="#,##0.0" sourceLinked="1"/>
        <c:majorTickMark val="cross"/>
        <c:minorTickMark val="none"/>
        <c:tickLblPos val="nextTo"/>
        <c:txPr>
          <a:bodyPr rot="0" vert="horz"/>
          <a:lstStyle/>
          <a:p>
            <a:pPr>
              <a:defRPr/>
            </a:pPr>
            <a:endParaRPr lang="ru-RU"/>
          </a:p>
        </c:txPr>
        <c:crossAx val="118604696"/>
        <c:crosses val="autoZero"/>
        <c:crossBetween val="between"/>
        <c:majorUnit val="500"/>
        <c:minorUnit val="500"/>
      </c:valAx>
      <c:catAx>
        <c:axId val="188416536"/>
        <c:scaling>
          <c:orientation val="minMax"/>
        </c:scaling>
        <c:delete val="1"/>
        <c:axPos val="b"/>
        <c:numFmt formatCode="General" sourceLinked="1"/>
        <c:majorTickMark val="out"/>
        <c:minorTickMark val="none"/>
        <c:tickLblPos val="nextTo"/>
        <c:crossAx val="188416928"/>
        <c:crosses val="autoZero"/>
        <c:auto val="0"/>
        <c:lblAlgn val="ctr"/>
        <c:lblOffset val="100"/>
        <c:noMultiLvlLbl val="0"/>
      </c:catAx>
      <c:valAx>
        <c:axId val="188416928"/>
        <c:scaling>
          <c:orientation val="minMax"/>
          <c:max val="120"/>
          <c:min val="20"/>
        </c:scaling>
        <c:delete val="0"/>
        <c:axPos val="r"/>
        <c:title>
          <c:tx>
            <c:rich>
              <a:bodyPr/>
              <a:lstStyle/>
              <a:p>
                <a:pPr>
                  <a:defRPr/>
                </a:pPr>
                <a:r>
                  <a:rPr lang="ru-RU"/>
                  <a:t>%</a:t>
                </a:r>
              </a:p>
            </c:rich>
          </c:tx>
          <c:layout>
            <c:manualLayout>
              <c:xMode val="edge"/>
              <c:yMode val="edge"/>
              <c:x val="0.94509151414309489"/>
              <c:y val="0.42344497607655501"/>
            </c:manualLayout>
          </c:layout>
          <c:overlay val="0"/>
        </c:title>
        <c:numFmt formatCode="General" sourceLinked="1"/>
        <c:majorTickMark val="cross"/>
        <c:minorTickMark val="none"/>
        <c:tickLblPos val="nextTo"/>
        <c:txPr>
          <a:bodyPr rot="0" vert="horz"/>
          <a:lstStyle/>
          <a:p>
            <a:pPr>
              <a:defRPr/>
            </a:pPr>
            <a:endParaRPr lang="ru-RU"/>
          </a:p>
        </c:txPr>
        <c:crossAx val="188416536"/>
        <c:crosses val="max"/>
        <c:crossBetween val="between"/>
      </c:valAx>
    </c:plotArea>
    <c:legend>
      <c:legendPos val="b"/>
      <c:layout>
        <c:manualLayout>
          <c:xMode val="edge"/>
          <c:yMode val="edge"/>
          <c:x val="5.4908479017610562E-2"/>
          <c:y val="0.90996999704196191"/>
          <c:w val="0.89018302828618967"/>
          <c:h val="8.9856509053119607E-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200"/>
            </a:pPr>
            <a:r>
              <a:rPr lang="ru-RU" sz="1200"/>
              <a:t>Динамика объема платных услуг населению (млн. рублей)</a:t>
            </a:r>
          </a:p>
        </c:rich>
      </c:tx>
      <c:layout>
        <c:manualLayout>
          <c:xMode val="edge"/>
          <c:yMode val="edge"/>
          <c:x val="0.16463500789970584"/>
          <c:y val="4.086553134346579E-4"/>
        </c:manualLayout>
      </c:layout>
      <c:overlay val="0"/>
    </c:title>
    <c:autoTitleDeleted val="0"/>
    <c:plotArea>
      <c:layout>
        <c:manualLayout>
          <c:layoutTarget val="inner"/>
          <c:xMode val="edge"/>
          <c:yMode val="edge"/>
          <c:x val="0.12146422628951747"/>
          <c:y val="8.8516746411483258E-2"/>
          <c:w val="0.82514945262042549"/>
          <c:h val="0.74153569729958246"/>
        </c:manualLayout>
      </c:layout>
      <c:barChart>
        <c:barDir val="col"/>
        <c:grouping val="clustered"/>
        <c:varyColors val="0"/>
        <c:ser>
          <c:idx val="1"/>
          <c:order val="0"/>
          <c:tx>
            <c:strRef>
              <c:f>Sheet1!$A$2</c:f>
              <c:strCache>
                <c:ptCount val="1"/>
                <c:pt idx="0">
                  <c:v>млн. рублей</c:v>
                </c:pt>
              </c:strCache>
            </c:strRef>
          </c:tx>
          <c:invertIfNegative val="0"/>
          <c:dLbls>
            <c:dLbl>
              <c:idx val="0"/>
              <c:layout>
                <c:manualLayout>
                  <c:x val="2.8635898489848277E-4"/>
                  <c:y val="1.84886772874320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0893801406961562E-3"/>
                  <c:y val="3.827443081242751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8675889412681493E-3"/>
                  <c:y val="1.186290667154977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7447003463881062E-3"/>
                  <c:y val="-3.802722334126838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5178610422473703E-3"/>
                  <c:y val="6.833608008301288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4.5343883401198173E-2"/>
                  <c:y val="1.438381248855520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год-отчет</c:v>
                </c:pt>
                <c:pt idx="1">
                  <c:v>2015 год-оценка</c:v>
                </c:pt>
                <c:pt idx="2">
                  <c:v>2016 год-прогноз</c:v>
                </c:pt>
                <c:pt idx="3">
                  <c:v>2017 год - прогноз</c:v>
                </c:pt>
                <c:pt idx="4">
                  <c:v>2018 год-прогноз</c:v>
                </c:pt>
              </c:strCache>
            </c:strRef>
          </c:cat>
          <c:val>
            <c:numRef>
              <c:f>Sheet1!$B$2:$F$2</c:f>
              <c:numCache>
                <c:formatCode>#,##0.0</c:formatCode>
                <c:ptCount val="5"/>
                <c:pt idx="0">
                  <c:v>3479.6</c:v>
                </c:pt>
                <c:pt idx="1">
                  <c:v>3792.8</c:v>
                </c:pt>
                <c:pt idx="2">
                  <c:v>4145.5</c:v>
                </c:pt>
                <c:pt idx="3">
                  <c:v>4468.8999999999996</c:v>
                </c:pt>
                <c:pt idx="4">
                  <c:v>4763.8</c:v>
                </c:pt>
              </c:numCache>
            </c:numRef>
          </c:val>
        </c:ser>
        <c:dLbls>
          <c:showLegendKey val="0"/>
          <c:showVal val="0"/>
          <c:showCatName val="0"/>
          <c:showSerName val="0"/>
          <c:showPercent val="0"/>
          <c:showBubbleSize val="0"/>
        </c:dLbls>
        <c:gapWidth val="150"/>
        <c:axId val="188417712"/>
        <c:axId val="188418104"/>
      </c:barChart>
      <c:lineChart>
        <c:grouping val="standard"/>
        <c:varyColors val="0"/>
        <c:ser>
          <c:idx val="0"/>
          <c:order val="1"/>
          <c:tx>
            <c:strRef>
              <c:f>Sheet1!$A$3</c:f>
              <c:strCache>
                <c:ptCount val="1"/>
                <c:pt idx="0">
                  <c:v>в % к предыдущему году в сопоставимых ценах</c:v>
                </c:pt>
              </c:strCache>
            </c:strRef>
          </c:tx>
          <c:spPr>
            <a:ln w="57150"/>
          </c:spPr>
          <c:dLbls>
            <c:dLbl>
              <c:idx val="0"/>
              <c:layout>
                <c:manualLayout>
                  <c:x val="-5.9593325711936908E-2"/>
                  <c:y val="4.41008972715619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4989616917787402E-2"/>
                  <c:y val="4.605033507867354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1.3772462781467241E-2"/>
                  <c:y val="-6.44909357260575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1.7378644310447327E-3"/>
                  <c:y val="-3.778507818972956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9.2532424201982461E-3"/>
                  <c:y val="-3.79211207870539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2.8007689903362405E-2"/>
                  <c:y val="-4.982085088201185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год-отчет</c:v>
                </c:pt>
                <c:pt idx="1">
                  <c:v>2015 год-оценка</c:v>
                </c:pt>
                <c:pt idx="2">
                  <c:v>2016 год-прогноз</c:v>
                </c:pt>
                <c:pt idx="3">
                  <c:v>2017 год - прогноз</c:v>
                </c:pt>
                <c:pt idx="4">
                  <c:v>2018 год-прогноз</c:v>
                </c:pt>
              </c:strCache>
            </c:strRef>
          </c:cat>
          <c:val>
            <c:numRef>
              <c:f>Sheet1!$B$3:$F$3</c:f>
              <c:numCache>
                <c:formatCode>0.0</c:formatCode>
                <c:ptCount val="5"/>
                <c:pt idx="0">
                  <c:v>100.5</c:v>
                </c:pt>
                <c:pt idx="1">
                  <c:v>97.8</c:v>
                </c:pt>
                <c:pt idx="2">
                  <c:v>101.3</c:v>
                </c:pt>
                <c:pt idx="3">
                  <c:v>101.5</c:v>
                </c:pt>
                <c:pt idx="4">
                  <c:v>101.6</c:v>
                </c:pt>
              </c:numCache>
            </c:numRef>
          </c:val>
          <c:smooth val="0"/>
        </c:ser>
        <c:dLbls>
          <c:showLegendKey val="0"/>
          <c:showVal val="0"/>
          <c:showCatName val="0"/>
          <c:showSerName val="0"/>
          <c:showPercent val="0"/>
          <c:showBubbleSize val="0"/>
        </c:dLbls>
        <c:marker val="1"/>
        <c:smooth val="0"/>
        <c:axId val="476136080"/>
        <c:axId val="476136472"/>
      </c:lineChart>
      <c:catAx>
        <c:axId val="188417712"/>
        <c:scaling>
          <c:orientation val="minMax"/>
        </c:scaling>
        <c:delete val="0"/>
        <c:axPos val="b"/>
        <c:numFmt formatCode="General" sourceLinked="1"/>
        <c:majorTickMark val="cross"/>
        <c:minorTickMark val="none"/>
        <c:tickLblPos val="nextTo"/>
        <c:txPr>
          <a:bodyPr rot="0" vert="horz"/>
          <a:lstStyle/>
          <a:p>
            <a:pPr>
              <a:defRPr/>
            </a:pPr>
            <a:endParaRPr lang="ru-RU"/>
          </a:p>
        </c:txPr>
        <c:crossAx val="188418104"/>
        <c:crossesAt val="1000"/>
        <c:auto val="0"/>
        <c:lblAlgn val="ctr"/>
        <c:lblOffset val="100"/>
        <c:tickLblSkip val="1"/>
        <c:tickMarkSkip val="1"/>
        <c:noMultiLvlLbl val="0"/>
      </c:catAx>
      <c:valAx>
        <c:axId val="188418104"/>
        <c:scaling>
          <c:orientation val="minMax"/>
          <c:max val="5500"/>
          <c:min val="1500"/>
        </c:scaling>
        <c:delete val="0"/>
        <c:axPos val="l"/>
        <c:title>
          <c:tx>
            <c:rich>
              <a:bodyPr/>
              <a:lstStyle/>
              <a:p>
                <a:pPr>
                  <a:defRPr/>
                </a:pPr>
                <a:r>
                  <a:rPr lang="ru-RU"/>
                  <a:t>млр. рублей</a:t>
                </a:r>
              </a:p>
            </c:rich>
          </c:tx>
          <c:layout>
            <c:manualLayout>
              <c:xMode val="edge"/>
              <c:yMode val="edge"/>
              <c:x val="1.1647254575707155E-2"/>
              <c:y val="0.35167464114832536"/>
            </c:manualLayout>
          </c:layout>
          <c:overlay val="0"/>
        </c:title>
        <c:numFmt formatCode="#,##0.0" sourceLinked="1"/>
        <c:majorTickMark val="cross"/>
        <c:minorTickMark val="none"/>
        <c:tickLblPos val="nextTo"/>
        <c:txPr>
          <a:bodyPr rot="0" vert="horz"/>
          <a:lstStyle/>
          <a:p>
            <a:pPr>
              <a:defRPr/>
            </a:pPr>
            <a:endParaRPr lang="ru-RU"/>
          </a:p>
        </c:txPr>
        <c:crossAx val="188417712"/>
        <c:crosses val="autoZero"/>
        <c:crossBetween val="between"/>
        <c:majorUnit val="500"/>
        <c:minorUnit val="500"/>
      </c:valAx>
      <c:catAx>
        <c:axId val="476136080"/>
        <c:scaling>
          <c:orientation val="minMax"/>
        </c:scaling>
        <c:delete val="1"/>
        <c:axPos val="b"/>
        <c:numFmt formatCode="General" sourceLinked="1"/>
        <c:majorTickMark val="out"/>
        <c:minorTickMark val="none"/>
        <c:tickLblPos val="nextTo"/>
        <c:crossAx val="476136472"/>
        <c:crosses val="autoZero"/>
        <c:auto val="0"/>
        <c:lblAlgn val="ctr"/>
        <c:lblOffset val="100"/>
        <c:noMultiLvlLbl val="0"/>
      </c:catAx>
      <c:valAx>
        <c:axId val="476136472"/>
        <c:scaling>
          <c:orientation val="minMax"/>
          <c:max val="110"/>
          <c:min val="20"/>
        </c:scaling>
        <c:delete val="0"/>
        <c:axPos val="r"/>
        <c:title>
          <c:tx>
            <c:rich>
              <a:bodyPr/>
              <a:lstStyle/>
              <a:p>
                <a:pPr>
                  <a:defRPr/>
                </a:pPr>
                <a:r>
                  <a:rPr lang="ru-RU"/>
                  <a:t>%</a:t>
                </a:r>
              </a:p>
            </c:rich>
          </c:tx>
          <c:layout>
            <c:manualLayout>
              <c:xMode val="edge"/>
              <c:yMode val="edge"/>
              <c:x val="0.94509151414309489"/>
              <c:y val="0.42344497607655501"/>
            </c:manualLayout>
          </c:layout>
          <c:overlay val="0"/>
        </c:title>
        <c:numFmt formatCode="0.0" sourceLinked="1"/>
        <c:majorTickMark val="cross"/>
        <c:minorTickMark val="none"/>
        <c:tickLblPos val="nextTo"/>
        <c:txPr>
          <a:bodyPr rot="0" vert="horz"/>
          <a:lstStyle/>
          <a:p>
            <a:pPr>
              <a:defRPr/>
            </a:pPr>
            <a:endParaRPr lang="ru-RU"/>
          </a:p>
        </c:txPr>
        <c:crossAx val="476136080"/>
        <c:crosses val="max"/>
        <c:crossBetween val="between"/>
      </c:valAx>
    </c:plotArea>
    <c:legend>
      <c:legendPos val="b"/>
      <c:layout>
        <c:manualLayout>
          <c:xMode val="edge"/>
          <c:yMode val="edge"/>
          <c:x val="5.4908413953564938E-2"/>
          <c:y val="0.9099700772697531"/>
          <c:w val="0.89018302828618967"/>
          <c:h val="8.9856509053119607E-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Обеспеченность дневными общеобразовательными учреждениями</a:t>
            </a:r>
          </a:p>
        </c:rich>
      </c:tx>
      <c:layout>
        <c:manualLayout>
          <c:xMode val="edge"/>
          <c:yMode val="edge"/>
          <c:x val="0.11607439388907341"/>
          <c:y val="1.1323075949342051E-2"/>
        </c:manualLayout>
      </c:layout>
      <c:overlay val="0"/>
      <c:spPr>
        <a:noFill/>
        <a:ln>
          <a:noFill/>
        </a:ln>
        <a:effectLst/>
      </c:spPr>
    </c:title>
    <c:autoTitleDeleted val="0"/>
    <c:plotArea>
      <c:layout>
        <c:manualLayout>
          <c:layoutTarget val="inner"/>
          <c:xMode val="edge"/>
          <c:yMode val="edge"/>
          <c:x val="0.1911476815979205"/>
          <c:y val="0.16722408026755853"/>
          <c:w val="0.72369971521743115"/>
          <c:h val="0.54363869838850787"/>
        </c:manualLayout>
      </c:layout>
      <c:barChart>
        <c:barDir val="col"/>
        <c:grouping val="clustered"/>
        <c:varyColors val="0"/>
        <c:ser>
          <c:idx val="1"/>
          <c:order val="0"/>
          <c:tx>
            <c:strRef>
              <c:f>Sheet1!$A$2</c:f>
              <c:strCache>
                <c:ptCount val="1"/>
                <c:pt idx="0">
                  <c:v>Количество мест в дневных ОУ</c:v>
                </c:pt>
              </c:strCache>
            </c:strRef>
          </c:tx>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 - отчет</c:v>
                </c:pt>
                <c:pt idx="1">
                  <c:v>2015 год - оценка</c:v>
                </c:pt>
                <c:pt idx="2">
                  <c:v>2016 год -        прогноз</c:v>
                </c:pt>
                <c:pt idx="3">
                  <c:v>2017 год - прогноз</c:v>
                </c:pt>
                <c:pt idx="4">
                  <c:v>2018 год-прогноз</c:v>
                </c:pt>
              </c:strCache>
            </c:strRef>
          </c:cat>
          <c:val>
            <c:numRef>
              <c:f>Sheet1!$B$2:$F$2</c:f>
              <c:numCache>
                <c:formatCode>#,##0</c:formatCode>
                <c:ptCount val="5"/>
                <c:pt idx="0">
                  <c:v>5147</c:v>
                </c:pt>
                <c:pt idx="1">
                  <c:v>5147</c:v>
                </c:pt>
                <c:pt idx="2">
                  <c:v>5147</c:v>
                </c:pt>
                <c:pt idx="3">
                  <c:v>5147</c:v>
                </c:pt>
                <c:pt idx="4">
                  <c:v>5147</c:v>
                </c:pt>
              </c:numCache>
            </c:numRef>
          </c:val>
        </c:ser>
        <c:ser>
          <c:idx val="2"/>
          <c:order val="2"/>
          <c:tx>
            <c:strRef>
              <c:f>Sheet1!$A$4</c:f>
              <c:strCache>
                <c:ptCount val="1"/>
                <c:pt idx="0">
                  <c:v>Численность детей 7-17 лет</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 - отчет</c:v>
                </c:pt>
                <c:pt idx="1">
                  <c:v>2015 год - оценка</c:v>
                </c:pt>
                <c:pt idx="2">
                  <c:v>2016 год -        прогноз</c:v>
                </c:pt>
                <c:pt idx="3">
                  <c:v>2017 год - прогноз</c:v>
                </c:pt>
                <c:pt idx="4">
                  <c:v>2018 год-прогноз</c:v>
                </c:pt>
              </c:strCache>
            </c:strRef>
          </c:cat>
          <c:val>
            <c:numRef>
              <c:f>Sheet1!$B$4:$F$4</c:f>
              <c:numCache>
                <c:formatCode>#,##0</c:formatCode>
                <c:ptCount val="5"/>
                <c:pt idx="0">
                  <c:v>8387</c:v>
                </c:pt>
                <c:pt idx="1">
                  <c:v>8620</c:v>
                </c:pt>
                <c:pt idx="2">
                  <c:v>8792</c:v>
                </c:pt>
                <c:pt idx="3">
                  <c:v>8954</c:v>
                </c:pt>
                <c:pt idx="4">
                  <c:v>9121</c:v>
                </c:pt>
              </c:numCache>
            </c:numRef>
          </c:val>
        </c:ser>
        <c:dLbls>
          <c:showLegendKey val="0"/>
          <c:showVal val="0"/>
          <c:showCatName val="0"/>
          <c:showSerName val="0"/>
          <c:showPercent val="0"/>
          <c:showBubbleSize val="0"/>
        </c:dLbls>
        <c:gapWidth val="150"/>
        <c:axId val="476137256"/>
        <c:axId val="476137648"/>
      </c:barChart>
      <c:lineChart>
        <c:grouping val="standard"/>
        <c:varyColors val="0"/>
        <c:ser>
          <c:idx val="0"/>
          <c:order val="1"/>
          <c:tx>
            <c:strRef>
              <c:f>Sheet1!$A$3</c:f>
              <c:strCache>
                <c:ptCount val="1"/>
                <c:pt idx="0">
                  <c:v>% обеспеченности</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7.6236657506240688E-2"/>
                  <c:y val="-3.56365500824025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7.9119606063855097E-2"/>
                  <c:y val="-6.36238669111350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7.5093946866737968E-2"/>
                  <c:y val="-3.963986415789967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8.1803784301200999E-2"/>
                  <c:y val="-4.7004053480601313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1493840171340259E-2"/>
                      <c:h val="4.783153047843397E-2"/>
                    </c:manualLayout>
                  </c15:layout>
                </c:ext>
              </c:extLst>
            </c:dLbl>
            <c:dLbl>
              <c:idx val="4"/>
              <c:layout>
                <c:manualLayout>
                  <c:x val="-6.8835529567439199E-2"/>
                  <c:y val="-4.8925308601684821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 - отчет</c:v>
                </c:pt>
                <c:pt idx="1">
                  <c:v>2015 год - оценка</c:v>
                </c:pt>
                <c:pt idx="2">
                  <c:v>2016 год -        прогноз</c:v>
                </c:pt>
                <c:pt idx="3">
                  <c:v>2017 год - прогноз</c:v>
                </c:pt>
                <c:pt idx="4">
                  <c:v>2018 год-прогноз</c:v>
                </c:pt>
              </c:strCache>
            </c:strRef>
          </c:cat>
          <c:val>
            <c:numRef>
              <c:f>Sheet1!$B$3:$F$3</c:f>
              <c:numCache>
                <c:formatCode>0.0</c:formatCode>
                <c:ptCount val="5"/>
                <c:pt idx="0">
                  <c:v>68.2</c:v>
                </c:pt>
                <c:pt idx="1">
                  <c:v>66.3</c:v>
                </c:pt>
                <c:pt idx="2">
                  <c:v>65</c:v>
                </c:pt>
                <c:pt idx="3">
                  <c:v>63.9</c:v>
                </c:pt>
                <c:pt idx="4">
                  <c:v>62.7</c:v>
                </c:pt>
              </c:numCache>
            </c:numRef>
          </c:val>
          <c:smooth val="0"/>
        </c:ser>
        <c:dLbls>
          <c:showLegendKey val="0"/>
          <c:showVal val="0"/>
          <c:showCatName val="0"/>
          <c:showSerName val="0"/>
          <c:showPercent val="0"/>
          <c:showBubbleSize val="0"/>
        </c:dLbls>
        <c:marker val="1"/>
        <c:smooth val="0"/>
        <c:axId val="468743712"/>
        <c:axId val="468744104"/>
      </c:lineChart>
      <c:catAx>
        <c:axId val="4761372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6137648"/>
        <c:crosses val="autoZero"/>
        <c:auto val="0"/>
        <c:lblAlgn val="ctr"/>
        <c:lblOffset val="100"/>
        <c:tickLblSkip val="1"/>
        <c:tickMarkSkip val="1"/>
        <c:noMultiLvlLbl val="0"/>
      </c:catAx>
      <c:valAx>
        <c:axId val="476137648"/>
        <c:scaling>
          <c:orientation val="minMax"/>
          <c:max val="9400"/>
          <c:min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мест</a:t>
                </a:r>
              </a:p>
            </c:rich>
          </c:tx>
          <c:layout>
            <c:manualLayout>
              <c:xMode val="edge"/>
              <c:yMode val="edge"/>
              <c:x val="1.2779552715654952E-2"/>
              <c:y val="0.38795986622073581"/>
            </c:manualLayout>
          </c:layout>
          <c:overlay val="0"/>
          <c:spPr>
            <a:noFill/>
            <a:ln>
              <a:noFill/>
            </a:ln>
            <a:effectLst/>
          </c:spPr>
        </c:title>
        <c:numFmt formatCode="#,##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6137256"/>
        <c:crosses val="autoZero"/>
        <c:crossBetween val="between"/>
      </c:valAx>
      <c:catAx>
        <c:axId val="468743712"/>
        <c:scaling>
          <c:orientation val="minMax"/>
        </c:scaling>
        <c:delete val="1"/>
        <c:axPos val="b"/>
        <c:numFmt formatCode="General" sourceLinked="1"/>
        <c:majorTickMark val="none"/>
        <c:minorTickMark val="none"/>
        <c:tickLblPos val="nextTo"/>
        <c:crossAx val="468744104"/>
        <c:crosses val="autoZero"/>
        <c:auto val="0"/>
        <c:lblAlgn val="ctr"/>
        <c:lblOffset val="100"/>
        <c:noMultiLvlLbl val="0"/>
      </c:catAx>
      <c:valAx>
        <c:axId val="468744104"/>
        <c:scaling>
          <c:orientation val="minMax"/>
        </c:scaling>
        <c:delete val="0"/>
        <c:axPos val="r"/>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a:t>
                </a:r>
              </a:p>
            </c:rich>
          </c:tx>
          <c:layout>
            <c:manualLayout>
              <c:xMode val="edge"/>
              <c:yMode val="edge"/>
              <c:x val="0.9408945686900958"/>
              <c:y val="0.41471571906354515"/>
            </c:manualLayout>
          </c:layout>
          <c:overlay val="0"/>
          <c:spPr>
            <a:noFill/>
            <a:ln>
              <a:noFill/>
            </a:ln>
            <a:effectLst/>
          </c:spPr>
        </c:title>
        <c:numFmt formatCode="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68743712"/>
        <c:crosses val="max"/>
        <c:crossBetween val="between"/>
        <c:majorUnit val="5"/>
      </c:valAx>
      <c:spPr>
        <a:noFill/>
        <a:ln>
          <a:noFill/>
        </a:ln>
        <a:effectLst/>
      </c:spPr>
    </c:plotArea>
    <c:legend>
      <c:legendPos val="b"/>
      <c:layout>
        <c:manualLayout>
          <c:xMode val="edge"/>
          <c:yMode val="edge"/>
          <c:x val="0.10127145094345821"/>
          <c:y val="0.84085112616736857"/>
          <c:w val="0.80540448786043606"/>
          <c:h val="5.49628273210034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Обеспеченность больничными койками и амбулаторно - поликлиническими учреждениями</a:t>
            </a:r>
          </a:p>
        </c:rich>
      </c:tx>
      <c:layout>
        <c:manualLayout>
          <c:xMode val="edge"/>
          <c:yMode val="edge"/>
          <c:x val="0.19540229885057472"/>
          <c:y val="2.0202020202020204E-2"/>
        </c:manualLayout>
      </c:layout>
      <c:overlay val="0"/>
      <c:spPr>
        <a:noFill/>
        <a:ln>
          <a:noFill/>
        </a:ln>
        <a:effectLst/>
      </c:spPr>
    </c:title>
    <c:autoTitleDeleted val="0"/>
    <c:plotArea>
      <c:layout>
        <c:manualLayout>
          <c:layoutTarget val="inner"/>
          <c:xMode val="edge"/>
          <c:yMode val="edge"/>
          <c:x val="0.15106732348111659"/>
          <c:y val="0.16835016835016836"/>
          <c:w val="0.75041050903119866"/>
          <c:h val="0.52861952861952866"/>
        </c:manualLayout>
      </c:layout>
      <c:barChart>
        <c:barDir val="col"/>
        <c:grouping val="clustered"/>
        <c:varyColors val="0"/>
        <c:ser>
          <c:idx val="0"/>
          <c:order val="0"/>
          <c:tx>
            <c:strRef>
              <c:f>Sheet1!$A$2</c:f>
              <c:strCache>
                <c:ptCount val="1"/>
                <c:pt idx="0">
                  <c:v>Обеспеченность амбулаторно-поликлиническими учреждениями на 10 тыс. населения, посещений в смену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8110300366432778E-3"/>
                  <c:y val="3.958403742971616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4.6728224886092374E-3"/>
                  <c:y val="8.22554171446490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9724819513040642E-2"/>
                  <c:y val="7.539685562018696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1788310790345586E-2"/>
                  <c:y val="-3.070731525724157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0419946566829612E-2"/>
                  <c:y val="9.887532999809054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0693618468108271E-2"/>
                  <c:y val="2.6441192790695512E-3"/>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 - отчет</c:v>
                </c:pt>
                <c:pt idx="1">
                  <c:v>2015 год - оценка</c:v>
                </c:pt>
                <c:pt idx="2">
                  <c:v>2016 год - прогноз</c:v>
                </c:pt>
                <c:pt idx="3">
                  <c:v>2017 год-прогноз</c:v>
                </c:pt>
                <c:pt idx="4">
                  <c:v>2018 год - прогноз</c:v>
                </c:pt>
              </c:strCache>
            </c:strRef>
          </c:cat>
          <c:val>
            <c:numRef>
              <c:f>Sheet1!$B$2:$F$2</c:f>
              <c:numCache>
                <c:formatCode>General</c:formatCode>
                <c:ptCount val="5"/>
                <c:pt idx="0">
                  <c:v>256.39999999999998</c:v>
                </c:pt>
                <c:pt idx="1">
                  <c:v>251.7</c:v>
                </c:pt>
                <c:pt idx="2" formatCode="0.0">
                  <c:v>247</c:v>
                </c:pt>
                <c:pt idx="3">
                  <c:v>242.4</c:v>
                </c:pt>
                <c:pt idx="4">
                  <c:v>237.8</c:v>
                </c:pt>
              </c:numCache>
            </c:numRef>
          </c:val>
        </c:ser>
        <c:ser>
          <c:idx val="1"/>
          <c:order val="1"/>
          <c:tx>
            <c:strRef>
              <c:f>Sheet1!$A$3</c:f>
              <c:strCache>
                <c:ptCount val="1"/>
                <c:pt idx="0">
                  <c:v>Обеспеченность больничными койками круглосуточного пребывания на 10 тыс. населения, коек</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5.8072213271533318E-3"/>
                  <c:y val="-6.610505443581551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8.8176216754641042E-3"/>
                  <c:y val="-3.77216566222347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1828022023774821E-2"/>
                  <c:y val="2.256728320424385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155435012249616E-2"/>
                  <c:y val="-5.358156419159616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7.9966059716279035E-3"/>
                  <c:y val="-2.695923847767604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9.364970195143877E-3"/>
                  <c:y val="-3.577143809092409E-3"/>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год - отчет</c:v>
                </c:pt>
                <c:pt idx="1">
                  <c:v>2015 год - оценка</c:v>
                </c:pt>
                <c:pt idx="2">
                  <c:v>2016 год - прогноз</c:v>
                </c:pt>
                <c:pt idx="3">
                  <c:v>2017 год-прогноз</c:v>
                </c:pt>
                <c:pt idx="4">
                  <c:v>2018 год - прогноз</c:v>
                </c:pt>
              </c:strCache>
            </c:strRef>
          </c:cat>
          <c:val>
            <c:numRef>
              <c:f>Sheet1!$B$3:$F$3</c:f>
              <c:numCache>
                <c:formatCode>General</c:formatCode>
                <c:ptCount val="5"/>
                <c:pt idx="0">
                  <c:v>50.5</c:v>
                </c:pt>
                <c:pt idx="1">
                  <c:v>49.6</c:v>
                </c:pt>
                <c:pt idx="2">
                  <c:v>50.2</c:v>
                </c:pt>
                <c:pt idx="3">
                  <c:v>49.3</c:v>
                </c:pt>
                <c:pt idx="4">
                  <c:v>48.36</c:v>
                </c:pt>
              </c:numCache>
            </c:numRef>
          </c:val>
        </c:ser>
        <c:dLbls>
          <c:showLegendKey val="0"/>
          <c:showVal val="1"/>
          <c:showCatName val="0"/>
          <c:showSerName val="0"/>
          <c:showPercent val="0"/>
          <c:showBubbleSize val="0"/>
        </c:dLbls>
        <c:gapWidth val="100"/>
        <c:overlap val="-24"/>
        <c:axId val="468744888"/>
        <c:axId val="468745280"/>
      </c:barChart>
      <c:catAx>
        <c:axId val="4687448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68745280"/>
        <c:crosses val="autoZero"/>
        <c:auto val="1"/>
        <c:lblAlgn val="ctr"/>
        <c:lblOffset val="100"/>
        <c:tickLblSkip val="1"/>
        <c:tickMarkSkip val="1"/>
        <c:noMultiLvlLbl val="0"/>
      </c:catAx>
      <c:valAx>
        <c:axId val="46874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68744888"/>
        <c:crosses val="autoZero"/>
        <c:crossBetween val="between"/>
        <c:majorUnit val="4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Количество субъектов малого и среднего предпринимательства, единиц</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4434784193642467E-2"/>
          <c:y val="0.20714285714285718"/>
          <c:w val="0.90010225284339462"/>
          <c:h val="0.61802774653168357"/>
        </c:manualLayout>
      </c:layout>
      <c:barChart>
        <c:barDir val="col"/>
        <c:grouping val="stacked"/>
        <c:varyColors val="0"/>
        <c:ser>
          <c:idx val="0"/>
          <c:order val="0"/>
          <c:tx>
            <c:strRef>
              <c:f>Лист1!$B$1</c:f>
              <c:strCache>
                <c:ptCount val="1"/>
                <c:pt idx="0">
                  <c:v>индивидуальные предпринимаьели</c:v>
                </c:pt>
              </c:strCache>
            </c:strRef>
          </c:tx>
          <c:spPr>
            <a:solidFill>
              <a:schemeClr val="accent3">
                <a:lumMod val="60000"/>
                <a:lumOff val="40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 год-отчет</c:v>
                </c:pt>
                <c:pt idx="1">
                  <c:v>2015 год-прогноз</c:v>
                </c:pt>
                <c:pt idx="2">
                  <c:v>2016 год-прогноз</c:v>
                </c:pt>
                <c:pt idx="3">
                  <c:v>2017 год-прогноз</c:v>
                </c:pt>
                <c:pt idx="4">
                  <c:v>2018 год-прогноз</c:v>
                </c:pt>
              </c:strCache>
            </c:strRef>
          </c:cat>
          <c:val>
            <c:numRef>
              <c:f>Лист1!$B$2:$B$6</c:f>
              <c:numCache>
                <c:formatCode>General</c:formatCode>
                <c:ptCount val="5"/>
                <c:pt idx="0">
                  <c:v>1497</c:v>
                </c:pt>
                <c:pt idx="1">
                  <c:v>1492</c:v>
                </c:pt>
                <c:pt idx="2">
                  <c:v>1522</c:v>
                </c:pt>
                <c:pt idx="3">
                  <c:v>1550</c:v>
                </c:pt>
                <c:pt idx="4">
                  <c:v>1575</c:v>
                </c:pt>
              </c:numCache>
            </c:numRef>
          </c:val>
        </c:ser>
        <c:ser>
          <c:idx val="1"/>
          <c:order val="1"/>
          <c:tx>
            <c:strRef>
              <c:f>Лист1!$C$1</c:f>
              <c:strCache>
                <c:ptCount val="1"/>
                <c:pt idx="0">
                  <c:v>малые и средние предприятия</c:v>
                </c:pt>
              </c:strCache>
            </c:strRef>
          </c:tx>
          <c:spPr>
            <a:solidFill>
              <a:schemeClr val="accent2"/>
            </a:solidFill>
            <a:ln>
              <a:noFill/>
            </a:ln>
            <a:effectLst/>
            <a:scene3d>
              <a:camera prst="orthographicFront"/>
              <a:lightRig rig="threePt" dir="t"/>
            </a:scene3d>
            <a:sp3d>
              <a:bevelT/>
            </a:sp3d>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tx>
                <c:rich>
                  <a:bodyPr/>
                  <a:lstStyle/>
                  <a:p>
                    <a:fld id="{272383F0-8106-45DD-8580-4712D942227B}"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E7573068-4D56-42A9-AB23-30A659137E20}"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42B41E3A-DD39-4999-B1B2-A722CF1062F7}"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
              <c:tx>
                <c:rich>
                  <a:bodyPr/>
                  <a:lstStyle/>
                  <a:p>
                    <a:fld id="{BB5C6363-1583-4A9A-9246-836700DEE77D}"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 год-отчет</c:v>
                </c:pt>
                <c:pt idx="1">
                  <c:v>2015 год-прогноз</c:v>
                </c:pt>
                <c:pt idx="2">
                  <c:v>2016 год-прогноз</c:v>
                </c:pt>
                <c:pt idx="3">
                  <c:v>2017 год-прогноз</c:v>
                </c:pt>
                <c:pt idx="4">
                  <c:v>2018 год-прогноз</c:v>
                </c:pt>
              </c:strCache>
            </c:strRef>
          </c:cat>
          <c:val>
            <c:numRef>
              <c:f>Лист1!$C$2:$C$6</c:f>
              <c:numCache>
                <c:formatCode>General</c:formatCode>
                <c:ptCount val="5"/>
                <c:pt idx="0">
                  <c:v>339</c:v>
                </c:pt>
                <c:pt idx="1">
                  <c:v>344</c:v>
                </c:pt>
                <c:pt idx="2">
                  <c:v>355</c:v>
                </c:pt>
                <c:pt idx="3">
                  <c:v>367</c:v>
                </c:pt>
                <c:pt idx="4">
                  <c:v>378</c:v>
                </c:pt>
              </c:numCache>
            </c:numRef>
          </c:val>
          <c:extLst>
            <c:ext xmlns:c15="http://schemas.microsoft.com/office/drawing/2012/chart" uri="{02D57815-91ED-43cb-92C2-25804820EDAC}">
              <c15:datalabelsRange>
                <c15:f>Лист1!$C$2:$C$6</c15:f>
                <c15:dlblRangeCache>
                  <c:ptCount val="5"/>
                  <c:pt idx="0">
                    <c:v>339</c:v>
                  </c:pt>
                  <c:pt idx="1">
                    <c:v>344</c:v>
                  </c:pt>
                  <c:pt idx="2">
                    <c:v>355</c:v>
                  </c:pt>
                  <c:pt idx="3">
                    <c:v>367</c:v>
                  </c:pt>
                  <c:pt idx="4">
                    <c:v>378</c:v>
                  </c:pt>
                </c15:dlblRangeCache>
              </c15:datalabelsRange>
            </c:ext>
          </c:extLst>
        </c:ser>
        <c:dLbls>
          <c:showLegendKey val="0"/>
          <c:showVal val="0"/>
          <c:showCatName val="0"/>
          <c:showSerName val="0"/>
          <c:showPercent val="0"/>
          <c:showBubbleSize val="0"/>
        </c:dLbls>
        <c:gapWidth val="150"/>
        <c:overlap val="100"/>
        <c:axId val="481283776"/>
        <c:axId val="481284168"/>
      </c:barChart>
      <c:lineChart>
        <c:grouping val="standard"/>
        <c:varyColors val="0"/>
        <c:ser>
          <c:idx val="2"/>
          <c:order val="2"/>
          <c:tx>
            <c:strRef>
              <c:f>Лист1!$D$1</c:f>
              <c:strCache>
                <c:ptCount val="1"/>
                <c:pt idx="0">
                  <c:v>всего</c:v>
                </c:pt>
              </c:strCache>
            </c:strRef>
          </c:tx>
          <c:spPr>
            <a:ln w="38100" cap="rnd">
              <a:solidFill>
                <a:schemeClr val="tx2">
                  <a:lumMod val="60000"/>
                  <a:lumOff val="40000"/>
                </a:schemeClr>
              </a:solidFill>
              <a:round/>
            </a:ln>
            <a:effectLst/>
          </c:spPr>
          <c:marker>
            <c:symbol val="square"/>
            <c:size val="7"/>
            <c:spPr>
              <a:solidFill>
                <a:schemeClr val="tx2">
                  <a:lumMod val="60000"/>
                  <a:lumOff val="40000"/>
                </a:schemeClr>
              </a:solidFill>
              <a:ln w="9525" cap="rnd">
                <a:solidFill>
                  <a:schemeClr val="accent3"/>
                </a:solidFill>
              </a:ln>
              <a:effectLst/>
            </c:spPr>
          </c:marker>
          <c:dLbls>
            <c:dLbl>
              <c:idx val="0"/>
              <c:layout>
                <c:manualLayout>
                  <c:x val="-4.6296296296296315E-2"/>
                  <c:y val="-4.36507936507936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335E-2"/>
                  <c:y val="-3.571428571428575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384E-2"/>
                  <c:y val="-3.968253968253972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0925925925926013E-2"/>
                  <c:y val="-4.36507936507936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296296296296294E-2"/>
                  <c:y val="-4.3650793650793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 год-отчет</c:v>
                </c:pt>
                <c:pt idx="1">
                  <c:v>2015 год-прогноз</c:v>
                </c:pt>
                <c:pt idx="2">
                  <c:v>2016 год-прогноз</c:v>
                </c:pt>
                <c:pt idx="3">
                  <c:v>2017 год-прогноз</c:v>
                </c:pt>
                <c:pt idx="4">
                  <c:v>2018 год-прогноз</c:v>
                </c:pt>
              </c:strCache>
            </c:strRef>
          </c:cat>
          <c:val>
            <c:numRef>
              <c:f>Лист1!$D$2:$D$6</c:f>
              <c:numCache>
                <c:formatCode>General</c:formatCode>
                <c:ptCount val="5"/>
                <c:pt idx="0">
                  <c:v>1836</c:v>
                </c:pt>
                <c:pt idx="1">
                  <c:v>1836</c:v>
                </c:pt>
                <c:pt idx="2">
                  <c:v>1877</c:v>
                </c:pt>
                <c:pt idx="3">
                  <c:v>1917</c:v>
                </c:pt>
                <c:pt idx="4">
                  <c:v>1953</c:v>
                </c:pt>
              </c:numCache>
            </c:numRef>
          </c:val>
          <c:smooth val="0"/>
        </c:ser>
        <c:dLbls>
          <c:showLegendKey val="0"/>
          <c:showVal val="0"/>
          <c:showCatName val="0"/>
          <c:showSerName val="0"/>
          <c:showPercent val="0"/>
          <c:showBubbleSize val="0"/>
        </c:dLbls>
        <c:marker val="1"/>
        <c:smooth val="0"/>
        <c:axId val="481283776"/>
        <c:axId val="481284168"/>
      </c:lineChart>
      <c:catAx>
        <c:axId val="48128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1284168"/>
        <c:crosses val="autoZero"/>
        <c:auto val="1"/>
        <c:lblAlgn val="ctr"/>
        <c:lblOffset val="100"/>
        <c:noMultiLvlLbl val="0"/>
      </c:catAx>
      <c:valAx>
        <c:axId val="481284168"/>
        <c:scaling>
          <c:orientation val="minMax"/>
          <c:max val="2200"/>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1283776"/>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Распределение малых и средних предприятий по видам экономической деятельности</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малых и средних предприятий по видам экономической деятельности в 2015 году</c:v>
                </c:pt>
              </c:strCache>
            </c:strRef>
          </c:tx>
          <c:explosion val="21"/>
          <c:dPt>
            <c:idx val="0"/>
            <c:bubble3D val="0"/>
            <c:spPr>
              <a:solidFill>
                <a:srgbClr val="0000FF"/>
              </a:solidFill>
            </c:spPr>
          </c:dPt>
          <c:dPt>
            <c:idx val="1"/>
            <c:bubble3D val="0"/>
            <c:spPr>
              <a:solidFill>
                <a:srgbClr val="FFFF00"/>
              </a:solidFill>
              <a:ln>
                <a:noFill/>
              </a:ln>
            </c:spPr>
          </c:dPt>
          <c:dPt>
            <c:idx val="2"/>
            <c:bubble3D val="0"/>
            <c:spPr>
              <a:solidFill>
                <a:srgbClr val="66FF33"/>
              </a:solidFill>
            </c:spPr>
          </c:dPt>
          <c:dPt>
            <c:idx val="3"/>
            <c:bubble3D val="0"/>
            <c:spPr>
              <a:solidFill>
                <a:srgbClr val="FF9900"/>
              </a:solidFill>
            </c:spPr>
          </c:dPt>
          <c:dPt>
            <c:idx val="4"/>
            <c:bubble3D val="0"/>
            <c:spPr>
              <a:solidFill>
                <a:srgbClr val="FF00FF"/>
              </a:solidFill>
            </c:spPr>
          </c:dPt>
          <c:dPt>
            <c:idx val="5"/>
            <c:bubble3D val="0"/>
            <c:spPr>
              <a:solidFill>
                <a:srgbClr val="33CCCC"/>
              </a:solidFill>
            </c:spPr>
          </c:dPt>
          <c:dLbls>
            <c:dLbl>
              <c:idx val="0"/>
              <c:layout>
                <c:manualLayout>
                  <c:x val="-6.4936714457400332E-2"/>
                  <c:y val="-5.5174978127734031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Оптовая и розничная торновля (30,4%)</c:v>
                </c:pt>
                <c:pt idx="1">
                  <c:v>Транспорт и связь (11,5%)</c:v>
                </c:pt>
                <c:pt idx="2">
                  <c:v>Операции с недвижимым имуществом (20,4%)</c:v>
                </c:pt>
                <c:pt idx="3">
                  <c:v>Строительство (18%)</c:v>
                </c:pt>
                <c:pt idx="4">
                  <c:v>Обрабатывающие производства (6,8%)</c:v>
                </c:pt>
                <c:pt idx="5">
                  <c:v>Прочие виды деятельности (12,9%)</c:v>
                </c:pt>
              </c:strCache>
            </c:strRef>
          </c:cat>
          <c:val>
            <c:numRef>
              <c:f>Лист1!$B$2:$B$7</c:f>
              <c:numCache>
                <c:formatCode>0.0%</c:formatCode>
                <c:ptCount val="6"/>
                <c:pt idx="0">
                  <c:v>0.30380000000000001</c:v>
                </c:pt>
                <c:pt idx="1">
                  <c:v>0.115</c:v>
                </c:pt>
                <c:pt idx="2">
                  <c:v>0.20399999999999999</c:v>
                </c:pt>
                <c:pt idx="3">
                  <c:v>0.18</c:v>
                </c:pt>
                <c:pt idx="4">
                  <c:v>6.8000000000000005E-2</c:v>
                </c:pt>
                <c:pt idx="5">
                  <c:v>0.129</c:v>
                </c:pt>
              </c:numCache>
            </c:numRef>
          </c:val>
        </c:ser>
        <c:dLbls>
          <c:dLblPos val="bestFit"/>
          <c:showLegendKey val="0"/>
          <c:showVal val="1"/>
          <c:showCatName val="0"/>
          <c:showSerName val="0"/>
          <c:showPercent val="0"/>
          <c:showBubbleSize val="0"/>
          <c:showLeaderLines val="1"/>
        </c:dLbls>
      </c:pie3DChart>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0.21205</cdr:x>
      <cdr:y>0.8265</cdr:y>
    </cdr:from>
    <cdr:to>
      <cdr:x>0.5759</cdr:x>
      <cdr:y>0.92587</cdr:y>
    </cdr:to>
    <cdr:sp macro="" textlink="">
      <cdr:nvSpPr>
        <cdr:cNvPr id="2" name="Левая фигурная скобка 1"/>
        <cdr:cNvSpPr/>
      </cdr:nvSpPr>
      <cdr:spPr>
        <a:xfrm xmlns:a="http://schemas.openxmlformats.org/drawingml/2006/main" rot="16200000">
          <a:off x="2242709" y="1630095"/>
          <a:ext cx="310452" cy="2214564"/>
        </a:xfrm>
        <a:prstGeom xmlns:a="http://schemas.openxmlformats.org/drawingml/2006/main" prst="leftBrace">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0.25039</cdr:x>
      <cdr:y>0.9306</cdr:y>
    </cdr:from>
    <cdr:to>
      <cdr:x>0.43662</cdr:x>
      <cdr:y>0.98423</cdr:y>
    </cdr:to>
    <cdr:sp macro="" textlink="">
      <cdr:nvSpPr>
        <cdr:cNvPr id="3" name="Поле 2"/>
        <cdr:cNvSpPr txBox="1"/>
      </cdr:nvSpPr>
      <cdr:spPr>
        <a:xfrm xmlns:a="http://schemas.openxmlformats.org/drawingml/2006/main">
          <a:off x="1524000" y="2809875"/>
          <a:ext cx="113347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0.3349</cdr:x>
      <cdr:y>0.92177</cdr:y>
    </cdr:from>
    <cdr:to>
      <cdr:x>0.4554</cdr:x>
      <cdr:y>1</cdr:y>
    </cdr:to>
    <cdr:sp macro="" textlink="">
      <cdr:nvSpPr>
        <cdr:cNvPr id="4" name="Поле 3"/>
        <cdr:cNvSpPr txBox="1"/>
      </cdr:nvSpPr>
      <cdr:spPr>
        <a:xfrm xmlns:a="http://schemas.openxmlformats.org/drawingml/2006/main">
          <a:off x="2038376" y="2879794"/>
          <a:ext cx="733420" cy="2444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23 856,6</a:t>
          </a:r>
        </a:p>
      </cdr:txBody>
    </cdr:sp>
  </cdr:relSizeAnchor>
</c:userShapes>
</file>

<file path=word/drawings/drawing2.xml><?xml version="1.0" encoding="utf-8"?>
<c:userShapes xmlns:c="http://schemas.openxmlformats.org/drawingml/2006/chart">
  <cdr:relSizeAnchor xmlns:cdr="http://schemas.openxmlformats.org/drawingml/2006/chartDrawing">
    <cdr:from>
      <cdr:x>0.5065</cdr:x>
      <cdr:y>0.506</cdr:y>
    </cdr:from>
    <cdr:to>
      <cdr:x>0.5165</cdr:x>
      <cdr:y>0.549</cdr:y>
    </cdr:to>
    <cdr:sp macro="" textlink="">
      <cdr:nvSpPr>
        <cdr:cNvPr id="1025" name="Text Box 1"/>
        <cdr:cNvSpPr txBox="1">
          <a:spLocks xmlns:a="http://schemas.openxmlformats.org/drawingml/2006/main" noChangeArrowheads="1"/>
        </cdr:cNvSpPr>
      </cdr:nvSpPr>
      <cdr:spPr bwMode="auto">
        <a:xfrm xmlns:a="http://schemas.openxmlformats.org/drawingml/2006/main">
          <a:off x="2899472" y="2014614"/>
          <a:ext cx="57245" cy="1712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0.5065</cdr:x>
      <cdr:y>0.506</cdr:y>
    </cdr:from>
    <cdr:to>
      <cdr:x>0.5165</cdr:x>
      <cdr:y>0.549</cdr:y>
    </cdr:to>
    <cdr:sp macro="" textlink="">
      <cdr:nvSpPr>
        <cdr:cNvPr id="1025" name="Text Box 1"/>
        <cdr:cNvSpPr txBox="1">
          <a:spLocks xmlns:a="http://schemas.openxmlformats.org/drawingml/2006/main" noChangeArrowheads="1"/>
        </cdr:cNvSpPr>
      </cdr:nvSpPr>
      <cdr:spPr bwMode="auto">
        <a:xfrm xmlns:a="http://schemas.openxmlformats.org/drawingml/2006/main">
          <a:off x="2899472" y="2014614"/>
          <a:ext cx="57245" cy="1712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0.5065</cdr:x>
      <cdr:y>0.506</cdr:y>
    </cdr:from>
    <cdr:to>
      <cdr:x>0.5165</cdr:x>
      <cdr:y>0.549</cdr:y>
    </cdr:to>
    <cdr:sp macro="" textlink="">
      <cdr:nvSpPr>
        <cdr:cNvPr id="1025" name="Text Box 1"/>
        <cdr:cNvSpPr txBox="1">
          <a:spLocks xmlns:a="http://schemas.openxmlformats.org/drawingml/2006/main" noChangeArrowheads="1"/>
        </cdr:cNvSpPr>
      </cdr:nvSpPr>
      <cdr:spPr bwMode="auto">
        <a:xfrm xmlns:a="http://schemas.openxmlformats.org/drawingml/2006/main">
          <a:off x="2899472" y="2014614"/>
          <a:ext cx="57245" cy="1712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0.5065</cdr:x>
      <cdr:y>0.506</cdr:y>
    </cdr:from>
    <cdr:to>
      <cdr:x>0.5165</cdr:x>
      <cdr:y>0.549</cdr:y>
    </cdr:to>
    <cdr:sp macro="" textlink="">
      <cdr:nvSpPr>
        <cdr:cNvPr id="1025" name="Text Box 1"/>
        <cdr:cNvSpPr txBox="1">
          <a:spLocks xmlns:a="http://schemas.openxmlformats.org/drawingml/2006/main" noChangeArrowheads="1"/>
        </cdr:cNvSpPr>
      </cdr:nvSpPr>
      <cdr:spPr bwMode="auto">
        <a:xfrm xmlns:a="http://schemas.openxmlformats.org/drawingml/2006/main">
          <a:off x="2899472" y="2014614"/>
          <a:ext cx="57245" cy="1712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3F13-4BB7-492B-BB37-5733E931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23</Pages>
  <Words>9863</Words>
  <Characters>56224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65956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Вера И. Кравец</dc:creator>
  <cp:lastModifiedBy>Бондарева Оксана Петровна</cp:lastModifiedBy>
  <cp:revision>147</cp:revision>
  <cp:lastPrinted>2015-11-20T11:58:00Z</cp:lastPrinted>
  <dcterms:created xsi:type="dcterms:W3CDTF">2015-11-03T11:13:00Z</dcterms:created>
  <dcterms:modified xsi:type="dcterms:W3CDTF">2016-03-17T10:34:00Z</dcterms:modified>
</cp:coreProperties>
</file>